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43"/>
        <w:tblW w:w="10173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4536"/>
      </w:tblGrid>
      <w:tr>
        <w:trPr/>
        <w:tc>
          <w:tcPr>
            <w:tcW w:w="5637" w:type="dxa"/>
            <w:textDirection w:val="lrTb"/>
            <w:noWrap w:val="false"/>
          </w:tcPr>
          <w:p>
            <w:pPr>
              <w:pStyle w:val="944"/>
              <w:ind w:firstLine="709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44"/>
              <w:ind w:firstLine="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ПРИЛОЖЕНИЕ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4"/>
              <w:ind w:firstLine="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 постановлени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Правительства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4"/>
              <w:ind w:firstLine="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pStyle w:val="931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31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31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Рекомендации по определению цены контракта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31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поставку товара и (или) оказание услуги,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пред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усматривающего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31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встречные инвестиционные обязательства поставщика (испо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лнителя)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31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созданию, модернизации, освоению производства товара и (или)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31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созданию, реконструкции используемого для оказания услуги имущества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(недвижимого имущества или недвижимого имущества и движимого имущества, технологически связанных между собой)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31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на территории Новосибирской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31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Цена контракта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поставку товара и (или) оказание услуги,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пред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усматривающего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встречные инвестиционные обязательства поставщика (испо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лнителя)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 созданию, модернизации, освоению производства товара и (или)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созданию, реконструкции используемого для оказания услуги имущества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(недвижимого имущества или недвижимого имущества и движимого имущества, технологически связанн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ых между собой)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(далее 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Офсетный контракт) определяется в соответствии с требованиями Федерального закона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 05.04.2013 № 44-ФЗ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«О контрактной системе в сфере закупок товаров, работ, услуг для обеспечения государственных и муниц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ипальных нужд»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(далее – Федеральный закон № 44-ФЗ).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2. В установленных Федеральным законом № 44-ФЗ случаях определения цены контракта путем указания заказчиком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ориентировочного значения цены контракта либо формулы цены и максимального значение цены контракта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значение цены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Офсетного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контракта определяется в соответствии с настоящими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рекомендациями по определению цены контракта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поставку товара и (или) оказание услуги,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пред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усматривающего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встречные инвестиционные обязательства поставщика (испо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лнителя)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 созданию, модернизации, освоению производства товара и (или)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созданию, реконструкции используемого для оказания услуги имущества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(недвижимого имущества или недвижимого имущества и движимого имущества, технологически связанных между собой)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 (далее – Рекомендации).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31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Начальная цена за единицу товара, услуги (начальная сумма цен за единицу товара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услуги) на момент заключения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определяются в соответствии с требованиями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установленными статьей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22 Федерального закона № 44-ФЗ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год(ы) исполнения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Офсетного контракта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предшествующий(е) году начала поставки товара (оказания услуги) цена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товара (услуги)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это цена, установленная по результатам электронного конкурса, по итогам которого заключается Офсетный контракт (далее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базовая цена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первый год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услуг)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определяется по формуле: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709" w:right="0" w:hanging="142"/>
        <w:jc w:val="lef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="Cambria Math" w:cs="Cambria Math"/>
                  <w:color w:val="000000" w:themeColor="text1"/>
                  <w:sz w:val="28"/>
                  <w:highlight w:val="none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ЦК</m:t>
              </m:r>
            </m:e>
            <m:sub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1</m:t>
              </m:r>
            </m:sub>
          </m:sSub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=</m:t>
          </m:r>
          <m:nary>
            <m:naryPr>
              <m:chr m:val="∑"/>
              <m:grow m:val="off"/>
              <m:ctrlPr>
                <w:rPr>
                  <w:rFonts w:ascii="Cambria Math" w:hAnsi="Cambria Math" w:eastAsia="Cambria Math" w:cs="Cambria Math"/>
                  <w:color w:val="000000" w:themeColor="text1"/>
                  <w:sz w:val="28"/>
                  <w:highlight w:val="none"/>
                </w:rPr>
              </m:ctrlPr>
            </m:naryPr>
            <m:sub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g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=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1</m:t>
              </m:r>
            </m:sub>
            <m:sup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N</m:t>
              </m:r>
            </m:sup>
            <m:e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ЦТ</m:t>
              </m:r>
              <m:sSub>
                <m:sSubPr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28"/>
                      <w:highlight w:val="none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>
                      <m:sty m:val="i"/>
                    </m:rPr>
                    <m:t>(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У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)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g,1</m:t>
                  </m:r>
                </m:sub>
              </m:sSub>
            </m:e>
          </m:nary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×</m:t>
          </m:r>
          <m:sSub>
            <m:sSubPr>
              <m:ctrlPr>
                <w:rPr>
                  <w:rFonts w:ascii="Cambria Math" w:hAnsi="Cambria Math" w:eastAsia="Cambria Math" w:cs="Cambria Math"/>
                  <w:color w:val="000000" w:themeColor="text1"/>
                  <w:sz w:val="28"/>
                  <w:highlight w:val="none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ОТ</m:t>
              </m:r>
              <m:d>
                <m:dPr>
                  <m:begChr m:val="("/>
                  <m:endChr m:val=")"/>
                  <m:ctrlPr>
                    <w:rPr>
                      <w:rFonts w:ascii="Cambria Math" w:hAnsi="Cambria Math" w:eastAsia="Cambria Math" w:cs="Cambria Math"/>
                      <w:color w:val="000000" w:themeColor="text1"/>
                      <w:sz w:val="28"/>
                      <w:highlight w:val="none"/>
                    </w:rPr>
                  </m:ctrlPr>
                </m:dPr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У</m:t>
                  </m:r>
                </m:e>
              </m:d>
            </m:e>
            <m:sub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g</m:t>
              </m:r>
            </m:sub>
          </m:sSub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,</m:t>
          </m:r>
        </m:oMath>
      </m:oMathPara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где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28"/>
                <w:szCs w:val="28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ЦК</m:t>
            </m:r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1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первый год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товара (оказания 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000000" w:themeColor="text1"/>
            <w:sz w:val="28"/>
            <w:szCs w:val="28"/>
            <w:highlight w:val="none"/>
          </w:rPr>
          <m:rPr>
            <m:sty m:val="p"/>
          </m:rPr>
          <m:t>N</m:t>
        </m:r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количество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товаров (количество услуг)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поставляемых (оказываемых)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первый год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товара (оказания 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000000" w:themeColor="text1"/>
            <w:sz w:val="28"/>
            <w:szCs w:val="28"/>
            <w:highlight w:val="none"/>
          </w:rPr>
          <m:rPr/>
          <m:t>ЦТ</m:t>
        </m:r>
        <m:sSub>
          <m:sSubPr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28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>
                <m:sty m:val="i"/>
              </m:rPr>
              <m:t>(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У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)</m:t>
            </m:r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g,1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цена g-го товара (услуги) в первый год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товара (оказания 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определяемая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 Рекомендаций;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28"/>
                <w:szCs w:val="28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ОТ(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У)</m:t>
            </m:r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g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 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объем поставки g-го товара (оказания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g-й услуги) 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весь период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товара (оказания 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согласно условиям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i-й год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услуг)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определяется по формуле: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709" w:right="0" w:firstLine="0"/>
        <w:jc w:val="lef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="Cambria Math" w:cs="Cambria Math"/>
                  <w:color w:val="000000" w:themeColor="text1"/>
                  <w:sz w:val="28"/>
                  <w:highlight w:val="none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ЦК</m:t>
              </m:r>
            </m:e>
            <m:sub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i</m:t>
              </m:r>
            </m:sub>
          </m:sSub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=</m:t>
          </m:r>
          <m:nary>
            <m:naryPr>
              <m:chr m:val="∑"/>
              <m:grow m:val="off"/>
              <m:ctrlPr>
                <w:rPr>
                  <w:rFonts w:ascii="Cambria Math" w:hAnsi="Cambria Math" w:eastAsia="Cambria Math" w:cs="Cambria Math"/>
                  <w:color w:val="000000" w:themeColor="text1"/>
                  <w:sz w:val="28"/>
                  <w:highlight w:val="none"/>
                </w:rPr>
              </m:ctrlPr>
            </m:naryPr>
            <m:sub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m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=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1</m:t>
              </m:r>
            </m:sub>
            <m:sup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i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-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1</m:t>
              </m:r>
            </m:sup>
            <m:e>
              <m:nary>
                <m:naryPr>
                  <m:chr m:val="∑"/>
                  <m:grow m:val="off"/>
                  <m:ctrlPr>
                    <w:rPr>
                      <w:rFonts w:ascii="Cambria Math" w:hAnsi="Cambria Math" w:eastAsia="Cambria Math" w:cs="Cambria Math"/>
                      <w:color w:val="000000" w:themeColor="text1"/>
                      <w:sz w:val="28"/>
                      <w:highlight w:val="none"/>
                    </w:rPr>
                  </m:ctrlPr>
                </m:naryPr>
                <m:sub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g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=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1</m:t>
                  </m:r>
                </m:sub>
                <m:sup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N</m:t>
                  </m:r>
                </m:sup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ЦТ</m:t>
                  </m:r>
                  <m:sSub>
                    <m:sSubPr>
                      <m:ctrlPr>
                        <w:rPr>
                          <w:rFonts w:ascii="Cambria Math" w:hAnsi="Cambria Math" w:eastAsia="Cambria Math" w:cs="Cambria Math"/>
                          <w:color w:val="000000" w:themeColor="text1"/>
                          <w:sz w:val="28"/>
                          <w:highlight w:val="none"/>
                        </w:rPr>
                      </m:ctrlPr>
                    </m:sSub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rFonts w:ascii="Cambria Math" w:hAnsi="Cambria Math" w:eastAsia="Cambria Math" w:cs="Cambria Math"/>
                              <w:color w:val="000000" w:themeColor="text1"/>
                              <w:sz w:val="28"/>
                              <w:highlight w:val="none"/>
                            </w:rPr>
                          </m:ctrlPr>
                        </m:dPr>
                        <m:e>
                          <m:r>
                            <w:rPr>
                              <w:rFonts w:hint="default" w:ascii="Cambria Math" w:hAnsi="Cambria Math" w:eastAsia="Cambria Math" w:cs="Cambria Math"/>
                              <w:color w:val="000000" w:themeColor="text1"/>
                              <w:sz w:val="28"/>
                              <w:szCs w:val="28"/>
                              <w:highlight w:val="none"/>
                            </w:rPr>
                            <m:rPr/>
                            <m:t>У</m:t>
                          </m:r>
                        </m:e>
                      </m:d>
                    </m:e>
                    <m:sub>
                      <m:r>
                        <w:rPr>
                          <w:rFonts w:hint="default" w:ascii="Cambria Math" w:hAnsi="Cambria Math" w:eastAsia="Cambria Math" w:cs="Cambria Math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m:rPr/>
                        <m:t>g</m:t>
                      </m:r>
                      <m:r>
                        <w:rPr>
                          <w:rFonts w:hint="default" w:ascii="Cambria Math" w:hAnsi="Cambria Math" w:eastAsia="Cambria Math" w:cs="Cambria Math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m:rPr/>
                        <m:t>,</m:t>
                      </m:r>
                      <m:r>
                        <w:rPr>
                          <w:rFonts w:hint="default" w:ascii="Cambria Math" w:hAnsi="Cambria Math" w:eastAsia="Cambria Math" w:cs="Cambria Math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m:rPr/>
                        <m:t>m</m:t>
                      </m:r>
                    </m:sub>
                  </m:sSub>
                </m:e>
              </m:nary>
            </m:e>
          </m:nary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×</m:t>
          </m:r>
          <m:sSub>
            <m:sSubPr>
              <m:ctrlPr>
                <w:rPr>
                  <w:rFonts w:ascii="Cambria Math" w:hAnsi="Cambria Math" w:eastAsia="Cambria Math" w:cs="Cambria Math"/>
                  <w:color w:val="000000" w:themeColor="text1"/>
                  <w:sz w:val="28"/>
                  <w:highlight w:val="none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ОТ</m:t>
              </m:r>
              <m:d>
                <m:dPr>
                  <m:begChr m:val="("/>
                  <m:endChr m:val=")"/>
                  <m:ctrlPr>
                    <w:rPr>
                      <w:rFonts w:ascii="Cambria Math" w:hAnsi="Cambria Math" w:eastAsia="Cambria Math" w:cs="Cambria Math"/>
                      <w:color w:val="000000" w:themeColor="text1"/>
                      <w:sz w:val="28"/>
                      <w:highlight w:val="none"/>
                    </w:rPr>
                  </m:ctrlPr>
                </m:dPr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У</m:t>
                  </m:r>
                </m:e>
              </m:d>
            </m:e>
            <m:sub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g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,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m</m:t>
              </m:r>
            </m:sub>
          </m:sSub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+</m:t>
          </m:r>
          <m:nary>
            <m:naryPr>
              <m:chr m:val="∑"/>
              <m:grow m:val="off"/>
              <m:ctrlPr>
                <w:rPr>
                  <w:rFonts w:ascii="Cambria Math" w:hAnsi="Cambria Math" w:eastAsia="Cambria Math" w:cs="Cambria Math"/>
                  <w:color w:val="000000" w:themeColor="text1"/>
                  <w:sz w:val="28"/>
                  <w:highlight w:val="none"/>
                </w:rPr>
              </m:ctrlPr>
            </m:naryPr>
            <m:sub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g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=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1</m:t>
              </m:r>
            </m:sub>
            <m:sup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N</m:t>
              </m:r>
            </m:sup>
            <m:e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Ц</m:t>
              </m:r>
              <m:sSub>
                <m:sSubPr>
                  <m:ctrlPr>
                    <w:rPr>
                      <w:rFonts w:ascii="Cambria Math" w:hAnsi="Cambria Math" w:eastAsia="Cambria Math" w:cs="Cambria Math"/>
                      <w:color w:val="000000" w:themeColor="text1"/>
                      <w:sz w:val="28"/>
                      <w:highlight w:val="none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Т</m:t>
                  </m:r>
                  <m:d>
                    <m:dPr>
                      <m:begChr m:val="("/>
                      <m:endChr m:val=")"/>
                      <m:ctrlPr>
                        <w:rPr>
                          <w:rFonts w:ascii="Cambria Math" w:hAnsi="Cambria Math" w:eastAsia="Cambria Math" w:cs="Cambria Math"/>
                          <w:color w:val="000000" w:themeColor="text1"/>
                          <w:sz w:val="28"/>
                          <w:highlight w:val="none"/>
                        </w:rPr>
                      </m:ctrlPr>
                    </m:dPr>
                    <m:e>
                      <m:r>
                        <w:rPr>
                          <w:rFonts w:hint="default" w:ascii="Cambria Math" w:hAnsi="Cambria Math" w:eastAsia="Cambria Math" w:cs="Cambria Math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m:rPr/>
                        <m:t>У</m:t>
                      </m:r>
                    </m:e>
                  </m:d>
                </m:e>
                <m:sub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g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,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i</m:t>
                  </m:r>
                </m:sub>
              </m:sSub>
            </m:e>
          </m:nary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×</m:t>
          </m:r>
          <m:d>
            <m:dPr>
              <m:begChr m:val="("/>
              <m:endChr m:val=")"/>
              <m:ctrlPr>
                <w:rPr>
                  <w:rFonts w:ascii="Cambria Math" w:hAnsi="Cambria Math" w:eastAsia="Cambria Math" w:cs="Cambria Math"/>
                  <w:color w:val="000000" w:themeColor="text1"/>
                  <w:sz w:val="28"/>
                  <w:highlight w:val="none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="Cambria Math" w:cs="Cambria Math"/>
                      <w:color w:val="000000" w:themeColor="text1"/>
                      <w:sz w:val="28"/>
                      <w:highlight w:val="none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ОТ</m:t>
                  </m:r>
                  <m:d>
                    <m:dPr>
                      <m:begChr m:val="("/>
                      <m:endChr m:val=")"/>
                      <m:ctrlPr>
                        <w:rPr>
                          <w:rFonts w:ascii="Cambria Math" w:hAnsi="Cambria Math" w:eastAsia="Cambria Math" w:cs="Cambria Math"/>
                          <w:color w:val="000000" w:themeColor="text1"/>
                          <w:sz w:val="28"/>
                          <w:highlight w:val="none"/>
                        </w:rPr>
                      </m:ctrlPr>
                    </m:dPr>
                    <m:e>
                      <m:r>
                        <w:rPr>
                          <w:rFonts w:hint="default" w:ascii="Cambria Math" w:hAnsi="Cambria Math" w:eastAsia="Cambria Math" w:cs="Cambria Math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m:rPr/>
                        <m:t>У</m:t>
                      </m:r>
                    </m:e>
                  </m:d>
                </m:e>
                <m:sub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g</m:t>
                  </m:r>
                </m:sub>
              </m:sSub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-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ОТ</m:t>
              </m:r>
              <m:sSub>
                <m:sSubPr>
                  <m:ctrlPr>
                    <w:rPr>
                      <w:rFonts w:ascii="Cambria Math" w:hAnsi="Cambria Math" w:eastAsia="Cambria Math" w:cs="Cambria Math"/>
                      <w:color w:val="000000" w:themeColor="text1"/>
                      <w:sz w:val="28"/>
                      <w:highlight w:val="none"/>
                    </w:rPr>
                  </m:ctrlPr>
                </m:sSubPr>
                <m:e>
                  <m:d>
                    <m:dPr>
                      <m:begChr m:val="("/>
                      <m:endChr m:val=")"/>
                      <m:ctrlPr>
                        <w:rPr>
                          <w:rFonts w:ascii="Cambria Math" w:hAnsi="Cambria Math" w:eastAsia="Cambria Math" w:cs="Cambria Math"/>
                          <w:color w:val="000000" w:themeColor="text1"/>
                          <w:sz w:val="28"/>
                          <w:highlight w:val="none"/>
                        </w:rPr>
                      </m:ctrlPr>
                    </m:dPr>
                    <m:e>
                      <m:r>
                        <w:rPr>
                          <w:rFonts w:hint="default" w:ascii="Cambria Math" w:hAnsi="Cambria Math" w:eastAsia="Cambria Math" w:cs="Cambria Math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m:rPr/>
                        <m:t>У</m:t>
                      </m:r>
                    </m:e>
                  </m:d>
                </m:e>
                <m:sub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g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,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i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-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1</m:t>
                  </m:r>
                </m:sub>
              </m:sSub>
            </m:e>
          </m:d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,</m:t>
          </m:r>
        </m:oMath>
      </m:oMathPara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где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sSub>
          <m:sSubPr>
            <m:ctrlPr>
              <w:rPr>
                <w:rFonts w:ascii="Cambria Math" w:hAnsi="Cambria Math" w:eastAsia="Cambria Math" w:cs="Cambria Math"/>
                <w:color w:val="000000" w:themeColor="text1"/>
                <w:sz w:val="28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ЦК</m:t>
            </m:r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i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цена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i-й год исполнения контракта;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000000" w:themeColor="text1"/>
            <w:sz w:val="28"/>
            <w:szCs w:val="28"/>
            <w:highlight w:val="none"/>
          </w:rPr>
          <m:rPr>
            <m:sty m:val="p"/>
          </m:rPr>
          <m:t>N</m:t>
        </m:r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 количество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товаров (количество услуг)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поставляемых (оказываемых) в i-й год исполнения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 год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(оказания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й 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m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год поставки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(оказания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й услуги), который приним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ается в значении от 1 до i-1;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000000" w:themeColor="text1"/>
            <w:sz w:val="28"/>
            <w:szCs w:val="28"/>
            <w:highlight w:val="none"/>
          </w:rPr>
          <m:rPr/>
          <m:t>ЦТ</m:t>
        </m:r>
        <m:sSub>
          <m:sSubPr>
            <m:ctrlPr>
              <w:rPr>
                <w:rFonts w:ascii="Cambria Math" w:hAnsi="Cambria Math" w:eastAsia="Cambria Math" w:cs="Cambria Math"/>
                <w:color w:val="000000" w:themeColor="text1"/>
                <w:sz w:val="28"/>
                <w:highlight w:val="no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hAnsi="Cambria Math" w:eastAsia="Cambria Math" w:cs="Cambria Math"/>
                    <w:color w:val="000000" w:themeColor="text1"/>
                    <w:sz w:val="28"/>
                    <w:highlight w:val="none"/>
                  </w:rPr>
                </m:ctrlPr>
              </m:dPr>
              <m:e>
                <m:r>
                  <w:rPr>
                    <w:rFonts w:hint="default" w:ascii="Cambria Math" w:hAnsi="Cambria Math" w:eastAsia="Cambria Math" w:cs="Cambria Math"/>
                    <w:color w:val="000000" w:themeColor="text1"/>
                    <w:sz w:val="28"/>
                    <w:szCs w:val="28"/>
                    <w:highlight w:val="none"/>
                  </w:rPr>
                  <m:rPr/>
                  <m:t>У</m:t>
                </m:r>
              </m:e>
            </m:d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g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,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m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цена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год m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определяемая в соответствии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пунктом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 Рекомендаций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sSub>
          <m:sSubPr>
            <m:ctrlPr>
              <w:rPr>
                <w:rFonts w:ascii="Cambria Math" w:hAnsi="Cambria Math" w:eastAsia="Cambria Math" w:cs="Cambria Math"/>
                <w:color w:val="000000" w:themeColor="text1"/>
                <w:sz w:val="28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ОТ</m:t>
            </m:r>
            <m:d>
              <m:dPr>
                <m:begChr m:val="("/>
                <m:endChr m:val=")"/>
                <m:ctrlPr>
                  <w:rPr>
                    <w:rFonts w:ascii="Cambria Math" w:hAnsi="Cambria Math" w:eastAsia="Cambria Math" w:cs="Cambria Math"/>
                    <w:color w:val="000000" w:themeColor="text1"/>
                    <w:sz w:val="28"/>
                    <w:highlight w:val="none"/>
                  </w:rPr>
                </m:ctrlPr>
              </m:dPr>
              <m:e>
                <m:r>
                  <w:rPr>
                    <w:rFonts w:hint="default" w:ascii="Cambria Math" w:hAnsi="Cambria Math" w:eastAsia="Cambria Math" w:cs="Cambria Math"/>
                    <w:color w:val="000000" w:themeColor="text1"/>
                    <w:sz w:val="28"/>
                    <w:szCs w:val="28"/>
                    <w:highlight w:val="none"/>
                  </w:rPr>
                  <m:rPr/>
                  <m:t>У</m:t>
                </m:r>
              </m:e>
            </m:d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g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,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m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объем фактической поставки 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й услуги)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год m;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000000" w:themeColor="text1"/>
            <w:sz w:val="28"/>
            <w:szCs w:val="28"/>
            <w:highlight w:val="none"/>
          </w:rPr>
          <m:rPr/>
          <m:t>Ц</m:t>
        </m:r>
        <m:sSub>
          <m:sSubPr>
            <m:ctrlPr>
              <w:rPr>
                <w:rFonts w:ascii="Cambria Math" w:hAnsi="Cambria Math" w:eastAsia="Cambria Math" w:cs="Cambria Math"/>
                <w:color w:val="000000" w:themeColor="text1"/>
                <w:sz w:val="28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Т</m:t>
            </m:r>
            <m:d>
              <m:dPr>
                <m:begChr m:val="("/>
                <m:endChr m:val=")"/>
                <m:ctrlPr>
                  <w:rPr>
                    <w:rFonts w:ascii="Cambria Math" w:hAnsi="Cambria Math" w:eastAsia="Cambria Math" w:cs="Cambria Math"/>
                    <w:color w:val="000000" w:themeColor="text1"/>
                    <w:sz w:val="28"/>
                    <w:highlight w:val="none"/>
                  </w:rPr>
                </m:ctrlPr>
              </m:dPr>
              <m:e>
                <m:r>
                  <w:rPr>
                    <w:rFonts w:hint="default" w:ascii="Cambria Math" w:hAnsi="Cambria Math" w:eastAsia="Cambria Math" w:cs="Cambria Math"/>
                    <w:color w:val="000000" w:themeColor="text1"/>
                    <w:sz w:val="28"/>
                    <w:szCs w:val="28"/>
                    <w:highlight w:val="none"/>
                  </w:rPr>
                  <m:rPr/>
                  <m:t>У</m:t>
                </m:r>
              </m:e>
            </m:d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g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,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i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цена 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товара (услуги)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i-й год поставки товара (оказания услуги),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определяемая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Рекомендаций;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sSub>
          <m:sSubPr>
            <m:ctrlPr>
              <w:rPr>
                <w:rFonts w:ascii="Cambria Math" w:hAnsi="Cambria Math" w:eastAsia="Cambria Math" w:cs="Cambria Math"/>
                <w:color w:val="000000" w:themeColor="text1"/>
                <w:sz w:val="28"/>
                <w:highlight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ОТ</m:t>
            </m:r>
            <m:d>
              <m:dPr>
                <m:begChr m:val="("/>
                <m:endChr m:val=")"/>
                <m:ctrlPr>
                  <w:rPr>
                    <w:rFonts w:ascii="Cambria Math" w:hAnsi="Cambria Math" w:eastAsia="Cambria Math" w:cs="Cambria Math"/>
                    <w:color w:val="000000" w:themeColor="text1"/>
                    <w:sz w:val="28"/>
                    <w:highlight w:val="none"/>
                  </w:rPr>
                </m:ctrlPr>
              </m:dPr>
              <m:e>
                <m:r>
                  <w:rPr>
                    <w:rFonts w:hint="default" w:ascii="Cambria Math" w:hAnsi="Cambria Math" w:eastAsia="Cambria Math" w:cs="Cambria Math"/>
                    <w:color w:val="000000" w:themeColor="text1"/>
                    <w:sz w:val="28"/>
                    <w:szCs w:val="28"/>
                    <w:highlight w:val="none"/>
                  </w:rPr>
                  <m:rPr/>
                  <m:t>У</m:t>
                </m:r>
              </m:e>
            </m:d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g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объем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й услуги)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 весь период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товара (оказания 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согласно условиям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000000" w:themeColor="text1"/>
            <w:sz w:val="28"/>
            <w:szCs w:val="28"/>
            <w:highlight w:val="none"/>
          </w:rPr>
          <m:rPr/>
          <m:t>ОТ</m:t>
        </m:r>
        <m:sSub>
          <m:sSubPr>
            <m:ctrlPr>
              <w:rPr>
                <w:rFonts w:ascii="Cambria Math" w:hAnsi="Cambria Math" w:eastAsia="Cambria Math" w:cs="Cambria Math"/>
                <w:color w:val="000000" w:themeColor="text1"/>
                <w:sz w:val="28"/>
                <w:highlight w:val="no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hAnsi="Cambria Math" w:eastAsia="Cambria Math" w:cs="Cambria Math"/>
                    <w:color w:val="000000" w:themeColor="text1"/>
                    <w:sz w:val="28"/>
                    <w:highlight w:val="none"/>
                  </w:rPr>
                </m:ctrlPr>
              </m:dPr>
              <m:e>
                <m:r>
                  <w:rPr>
                    <w:rFonts w:hint="default" w:ascii="Cambria Math" w:hAnsi="Cambria Math" w:eastAsia="Cambria Math" w:cs="Cambria Math"/>
                    <w:color w:val="000000" w:themeColor="text1"/>
                    <w:sz w:val="28"/>
                    <w:szCs w:val="28"/>
                    <w:highlight w:val="none"/>
                  </w:rPr>
                  <m:rPr/>
                  <m:t>У</m:t>
                </m:r>
              </m:e>
            </m:d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g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,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i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-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1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объем фактическо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й 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 период до года, предшествующего i-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году поставки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целях определения цены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товара (услуги)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i-м году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поставки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услуги)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(в том числе в год m) заказчик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Офсетному контракту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выбирает наименьшую цену из следующих цен: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Цена 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товара (услуги) в i-м году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поставки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услуг), определяемая по формуле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709" w:right="0" w:firstLine="0"/>
        <w:jc w:val="lef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Para>
        <m:oMathParaPr>
          <m:jc m:val="left"/>
        </m:oMathParaPr>
        <m:oMath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ЦТ</m:t>
          </m:r>
          <m:sSub>
            <m:sSubPr>
              <m:ctrlPr>
                <w:rPr>
                  <w:rFonts w:ascii="Cambria Math" w:hAnsi="Cambria Math" w:eastAsia="Cambria Math" w:cs="Cambria Math"/>
                  <w:color w:val="000000" w:themeColor="text1"/>
                  <w:sz w:val="28"/>
                  <w:highlight w:val="none"/>
                </w:rPr>
              </m:ctrlPr>
            </m:sSubPr>
            <m:e>
              <m:d>
                <m:dPr>
                  <m:begChr m:val="("/>
                  <m:endChr m:val=")"/>
                  <m:ctrlPr>
                    <w:rPr>
                      <w:rFonts w:ascii="Cambria Math" w:hAnsi="Cambria Math" w:eastAsia="Cambria Math" w:cs="Cambria Math"/>
                      <w:color w:val="000000" w:themeColor="text1"/>
                      <w:sz w:val="28"/>
                      <w:highlight w:val="none"/>
                    </w:rPr>
                  </m:ctrlPr>
                </m:dPr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У</m:t>
                  </m:r>
                </m:e>
              </m:d>
            </m:e>
            <m:sub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g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,i</m:t>
              </m:r>
            </m:sub>
          </m:sSub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>
              <m:sty m:val="p"/>
            </m:rPr>
            <m:t>= </m:t>
          </m:r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ЦТ</m:t>
          </m:r>
          <m:sSub>
            <m:sSubPr>
              <m:ctrlPr>
                <w:rPr>
                  <w:rFonts w:ascii="Cambria Math" w:hAnsi="Cambria Math" w:eastAsia="Cambria Math" w:cs="Cambria Math"/>
                  <w:color w:val="000000" w:themeColor="text1"/>
                  <w:sz w:val="28"/>
                  <w:highlight w:val="none"/>
                </w:rPr>
              </m:ctrlPr>
            </m:sSubPr>
            <m:e>
              <m:d>
                <m:dPr>
                  <m:begChr m:val="("/>
                  <m:endChr m:val=")"/>
                  <m:ctrlPr>
                    <w:rPr>
                      <w:rFonts w:ascii="Cambria Math" w:hAnsi="Cambria Math" w:eastAsia="Cambria Math" w:cs="Cambria Math"/>
                      <w:color w:val="000000" w:themeColor="text1"/>
                      <w:sz w:val="28"/>
                      <w:highlight w:val="none"/>
                    </w:rPr>
                  </m:ctrlPr>
                </m:dPr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У</m:t>
                  </m:r>
                </m:e>
              </m:d>
            </m:e>
            <m:sub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g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,k</m:t>
              </m:r>
            </m:sub>
          </m:sSub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>
              <m:sty m:val="p"/>
            </m:rPr>
            <m:t>×</m:t>
          </m:r>
          <m:f>
            <m:fPr>
              <m:ctrlPr>
                <w:rPr>
                  <w:rFonts w:ascii="Cambria Math" w:hAnsi="Cambria Math" w:eastAsiaTheme="minorEastAsia" w:cstheme="minorBidi"/>
                  <w:i/>
                  <w:color w:val="000000" w:themeColor="text1"/>
                  <w:sz w:val="28"/>
                  <w:highlight w:val="none"/>
                </w:rPr>
              </m:ctrlPr>
            </m:fPr>
            <m:num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ИПЦ</m:t>
              </m:r>
              <m:sSubSup>
                <m:sSubSupPr>
                  <m:alnScr m:val="off"/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28"/>
                      <w:highlight w:val="none"/>
                    </w:rPr>
                  </m:ctrlPr>
                </m:sSubSupPr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нт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у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>
                      <m:sty m:val="i"/>
                    </m:rPr>
                    <m:t>k</m:t>
                  </m:r>
                </m:sub>
                <m:sup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i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-2</m:t>
                  </m:r>
                </m:sup>
              </m:sSubSup>
            </m:num>
            <m:den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100%</m:t>
              </m:r>
            </m:den>
          </m:f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×</m:t>
          </m:r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 </m:t>
          </m:r>
          <m:f>
            <m:fPr>
              <m:ctrlPr>
                <w:rPr>
                  <w:rFonts w:ascii="Cambria Math" w:hAnsi="Cambria Math" w:eastAsiaTheme="minorEastAsia" w:cstheme="minorBidi"/>
                  <w:i/>
                  <w:color w:val="000000" w:themeColor="text1"/>
                  <w:sz w:val="28"/>
                  <w:highlight w:val="none"/>
                </w:rPr>
              </m:ctrlPr>
            </m:fPr>
            <m:num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ИПЦ</m:t>
              </m:r>
              <m:sSubSup>
                <m:sSubSupPr>
                  <m:alnScr m:val="off"/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28"/>
                      <w:highlight w:val="none"/>
                    </w:rPr>
                  </m:ctrlPr>
                </m:sSubSupPr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нт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у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i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-1</m:t>
                  </m:r>
                </m:sub>
                <m:sup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i</m:t>
                  </m:r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-1</m:t>
                  </m:r>
                </m:sup>
              </m:sSubSup>
            </m:num>
            <m:den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100%</m:t>
              </m:r>
            </m:den>
          </m:f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×</m:t>
          </m:r>
          <m:d>
            <m:dPr>
              <m:ctrlPr>
                <w:rPr>
                  <w:rFonts w:ascii="Cambria Math" w:hAnsi="Cambria Math" w:eastAsia="Cambria Math" w:cs="Cambria Math"/>
                  <w:i/>
                  <w:color w:val="000000" w:themeColor="text1"/>
                  <w:sz w:val="28"/>
                  <w:highlight w:val="none"/>
                  <w:lang w:val="en-US"/>
                </w:rPr>
              </m:ctrlPr>
            </m:dPr>
            <m:e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/>
                <m:t>1+ </m:t>
              </m:r>
              <m:f>
                <m:fPr>
                  <m:ctrlPr>
                    <w:rPr>
                      <w:rFonts w:ascii="Cambria Math" w:hAnsi="Cambria Math" w:eastAsiaTheme="minorEastAsia" w:cstheme="minorBidi"/>
                      <w:i/>
                      <w:color w:val="000000" w:themeColor="text1"/>
                      <w:sz w:val="28"/>
                      <w:highlight w:val="none"/>
                      <w:lang w:val="en-US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  <w:lang w:val="en-US"/>
                    </w:rPr>
                    <m:rPr>
                      <m:sty m:val="p"/>
                    </m:rPr>
                    <m:t>H</m:t>
                  </m:r>
                </m:num>
                <m:den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/>
                    <m:t>100%</m:t>
                  </m:r>
                </m:den>
              </m:f>
            </m:e>
          </m:d>
          <m:r>
            <w:rPr>
              <w:rFonts w:hint="default" w:ascii="Cambria Math" w:hAnsi="Cambria Math" w:eastAsia="Cambria Math" w:cs="Cambria Math"/>
              <w:color w:val="000000" w:themeColor="text1"/>
              <w:sz w:val="28"/>
              <w:szCs w:val="28"/>
              <w:highlight w:val="none"/>
            </w:rPr>
            <m:rPr/>
            <m:t>, </m:t>
          </m:r>
        </m:oMath>
      </m:oMathPara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000000" w:themeColor="text1"/>
            <w:sz w:val="28"/>
            <w:szCs w:val="28"/>
            <w:highlight w:val="none"/>
          </w:rPr>
          <m:rPr/>
          <m:t>ЦТ</m:t>
        </m:r>
        <m:sSub>
          <m:sSubPr>
            <m:ctrlPr>
              <w:rPr>
                <w:rFonts w:ascii="Cambria Math" w:hAnsi="Cambria Math" w:eastAsia="Cambria Math" w:cs="Cambria Math"/>
                <w:color w:val="000000" w:themeColor="text1"/>
                <w:sz w:val="28"/>
                <w:highlight w:val="no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hAnsi="Cambria Math" w:eastAsia="Cambria Math" w:cs="Cambria Math"/>
                    <w:color w:val="000000" w:themeColor="text1"/>
                    <w:sz w:val="28"/>
                    <w:highlight w:val="none"/>
                  </w:rPr>
                </m:ctrlPr>
              </m:dPr>
              <m:e>
                <m:r>
                  <w:rPr>
                    <w:rFonts w:hint="default" w:ascii="Cambria Math" w:hAnsi="Cambria Math" w:eastAsia="Cambria Math" w:cs="Cambria Math"/>
                    <w:color w:val="000000" w:themeColor="text1"/>
                    <w:sz w:val="28"/>
                    <w:szCs w:val="28"/>
                    <w:highlight w:val="none"/>
                  </w:rPr>
                  <m:rPr/>
                  <m:t>У</m:t>
                </m:r>
              </m:e>
            </m:d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g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,i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цена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i-й год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товара (оказания 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000000" w:themeColor="text1"/>
            <w:sz w:val="28"/>
            <w:szCs w:val="28"/>
            <w:highlight w:val="none"/>
          </w:rPr>
          <m:rPr/>
          <m:t>ЦТ</m:t>
        </m:r>
        <m:sSub>
          <m:sSubPr>
            <m:ctrlPr>
              <w:rPr>
                <w:rFonts w:ascii="Cambria Math" w:hAnsi="Cambria Math" w:eastAsia="Cambria Math" w:cs="Cambria Math"/>
                <w:color w:val="000000" w:themeColor="text1"/>
                <w:sz w:val="28"/>
                <w:highlight w:val="no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hAnsi="Cambria Math" w:eastAsia="Cambria Math" w:cs="Cambria Math"/>
                    <w:color w:val="000000" w:themeColor="text1"/>
                    <w:sz w:val="28"/>
                    <w:highlight w:val="none"/>
                  </w:rPr>
                </m:ctrlPr>
              </m:dPr>
              <m:e>
                <m:r>
                  <w:rPr>
                    <w:rFonts w:hint="default" w:ascii="Cambria Math" w:hAnsi="Cambria Math" w:eastAsia="Cambria Math" w:cs="Cambria Math"/>
                    <w:color w:val="000000" w:themeColor="text1"/>
                    <w:sz w:val="28"/>
                    <w:szCs w:val="28"/>
                    <w:highlight w:val="none"/>
                  </w:rPr>
                  <m:rPr/>
                  <m:t>У</m:t>
                </m:r>
              </m:e>
            </m:d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g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,k</m:t>
            </m:r>
          </m:sub>
        </m:sSub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базовая цена g-го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без учета налога на добавленную стоимость;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k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первый год действия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000000" w:themeColor="text1"/>
            <w:sz w:val="28"/>
            <w:szCs w:val="28"/>
            <w:highlight w:val="none"/>
          </w:rPr>
          <m:rPr/>
          <m:t>ИПЦ</m:t>
        </m:r>
        <m:sSubSup>
          <m:sSubSupPr>
            <m:alnScr m:val="off"/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28"/>
                <w:highlight w:val="none"/>
              </w:rPr>
            </m:ctrlPr>
          </m:sSubSupPr>
          <m:e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нт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у</m:t>
            </m:r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>
                <m:sty m:val="i"/>
              </m:rPr>
              <m:t>k</m:t>
            </m:r>
          </m:sub>
          <m:sup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i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-2</m:t>
            </m:r>
          </m:sup>
        </m:sSubSup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индекс потребительских це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(услуги) (декабрь к декабрю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предыдущего года в процентах) за период с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ервого года действия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k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год)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 календарного года i-2 (включительно),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предшествующего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предыдущему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году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нарастающим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итогом,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публикуемый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Территориальным органом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Федеральной службы государственной статистики по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000000" w:themeColor="text1"/>
            <w:sz w:val="28"/>
            <w:szCs w:val="28"/>
            <w:highlight w:val="none"/>
          </w:rPr>
          <m:rPr/>
          <m:t>ИПЦ</m:t>
        </m:r>
        <m:sSubSup>
          <m:sSubSupPr>
            <m:alnScr m:val="off"/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28"/>
                <w:highlight w:val="none"/>
              </w:rPr>
            </m:ctrlPr>
          </m:sSubSupPr>
          <m:e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нт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у</m:t>
            </m:r>
          </m:e>
          <m:sub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i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-1</m:t>
            </m:r>
          </m:sub>
          <m:sup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i</m:t>
            </m:r>
            <m:r>
              <w:rPr>
                <w:rFonts w:hint="default" w:ascii="Cambria Math" w:hAnsi="Cambria Math" w:eastAsia="Cambria Math" w:cs="Cambria Math"/>
                <w:color w:val="000000" w:themeColor="text1"/>
                <w:sz w:val="28"/>
                <w:szCs w:val="28"/>
                <w:highlight w:val="none"/>
              </w:rPr>
              <m:rPr/>
              <m:t>-1</m:t>
            </m:r>
          </m:sup>
        </m:sSubSup>
      </m:oMath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прогнозный индекс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потребительских цен на товары (услуги)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одержащийся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Сценарных условиях функционирования экономики Российской Федерации и основных параметрах прогноза социально-экономического развития Российской Федерации на среднесрочный период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применяемый для целей осуществления закупок (в процентах) на календарный год i-1, предшествующего году поставки товара (оказания услуг);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вка налога на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обавленную стоимость, применяемая при реализации изделий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соответствующим категориям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(в процентах)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2.2.2. Цена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i-м году поставки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услуг),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определя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емая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 учетом актов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Российской Федерации, Новосибирской области,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регулирующих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товары, услуги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увеличенная на сумму налога на добавленную стоимост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2.2.3. Цена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i-м году поставки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услуг)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определяемая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основании информации о рыночных ценах идентичных товаров (услуг), планируемых к закупкам, или при их отсутствии однородных товаров (услуг), включая определение цены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как среднее значение из цен контрактов, содержащихся в реестре государственных контрактов, заключенных заказчиками Новосибирской области на поставку идентичного (однородного) товара (оказание услуги).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2.2.4. Цена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i-м году поставки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услуг)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определяемая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как сумма произведенных затрат и обычной для определенной сферы деятельности прибыли.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 определении произведенных затрат учитываются обычные в подобных случаях прямые и косвенные затраты на производство или приобретение и (или) реализацию товаров, услуг, затраты на транспортировку, хранение, страхование и иные затраты.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Информация об обычной прибыли для определенной сферы деятельности может быть получена заказчиком исходя из анализа контрактов, размещенных в единой информационной системе в сфере закупок, на официальном сайте, других общедоступных источников информации, в том числе информации информационно-цен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овых агентств, общедоступных результатов изучения рынка, а также результатов изучения рынка, проведенного по инициативе заказчика.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2.2.5. В случае, если цена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g-го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i-й год поставки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(оказания услуг)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определенная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пунктам 2.2.2-2.2.4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Рекомендаций, является наименьшей, снижение цены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производится в порядке, установленном условиями контракта.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2.3. 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срок не позднее 15 ноября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каждого календарного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, начиная с года, предшествующего первому году поставки товара (оказания услуги), заказчик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производит расчет цены 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на следующий календарный год поставки товара (оказания услуги) в соответствии с пунктом 2.1 Рекомендаций с учетом установленного Офсетным контрактом объемом поставки товара (оказания услуги) на следующий календарный год,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 представляет 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оставщику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 (исполнителю)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результаты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расчета.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Цена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контракта 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цена единицы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услуги)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включает 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стоимость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услуги)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все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 налоги, пошлины и сборы, кото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рые 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поставщик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 (исполнитель) должен выплатить,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 также затраты, издержки и иные расходы поставщика (исполнителя), в том числе сопутствующие, связанные с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Офсетного контракта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за исключением 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сходов, 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установленных условиями контракта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continuous"/>
      <w:pgSz w:w="11906" w:h="16838" w:orient="portrait"/>
      <w:pgMar w:top="1134" w:right="567" w:bottom="1134" w:left="1417" w:header="737" w:footer="73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endnote>
  <w:endnote w:type="continuationSeparator" w:id="0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imes New Roman">
    <w:panose1 w:val="02020603050405020304"/>
  </w:font>
  <w:font w:name="Tahoma">
    <w:panose1 w:val="020B0604030504040204"/>
  </w:font>
  <w:font w:name="CourierNew">
    <w:panose1 w:val="02070309020205020404"/>
  </w:font>
  <w:font w:name="LiberationSans">
    <w:panose1 w:val="020B0604020202020204"/>
  </w:font>
  <w:font w:name="Arial">
    <w:panose1 w:val="020B0604020202020204"/>
  </w:font>
  <w:font w:name="Calibri">
    <w:panose1 w:val="020F0502020204030204"/>
  </w:font>
  <w:font w:name="Liberation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</w:r>
    </w:p>
  </w:footnote>
  <w:footnote w:type="continuationSeparator" w:id="0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continuation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rFonts w:ascii="Times New Roman" w:hAnsi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765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3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3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3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3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3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3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9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Serif" w:hAnsi="LiberationSerif" w:eastAsia="LiberationSerif" w:cs="LiberationSerif"/>
        <w:sz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 w:default="1">
    <w:name w:val="Normal"/>
    <w:pPr>
      <w:spacing w:after="200" w:line="276" w:lineRule="auto"/>
    </w:pPr>
    <w:rPr>
      <w:rFonts w:ascii="Calibri" w:hAnsi="Calibri" w:eastAsia="Calibri" w:cs="Calibri"/>
      <w:color w:val="000000"/>
      <w:sz w:val="22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paragraph" w:styleId="737" w:customStyle="1">
    <w:name w:val="Heading 1"/>
    <w:basedOn w:val="733"/>
    <w:qFormat/>
    <w:pPr>
      <w:keepLines/>
      <w:keepNext/>
      <w:spacing w:before="480" w:line="240" w:lineRule="auto"/>
      <w:outlineLvl w:val="0"/>
    </w:pPr>
    <w:rPr>
      <w:rFonts w:ascii="Arial" w:hAnsi="Arial" w:eastAsia="Arial" w:cs="Arial"/>
      <w:sz w:val="40"/>
    </w:rPr>
  </w:style>
  <w:style w:type="character" w:styleId="738" w:customStyle="1">
    <w:name w:val="Heading 1 Char"/>
    <w:basedOn w:val="734"/>
    <w:rPr>
      <w:rFonts w:ascii="Arial" w:hAnsi="Arial" w:eastAsia="Arial" w:cs="Arial"/>
      <w:sz w:val="40"/>
    </w:rPr>
  </w:style>
  <w:style w:type="paragraph" w:styleId="739" w:customStyle="1">
    <w:name w:val="Heading 2"/>
    <w:basedOn w:val="733"/>
    <w:unhideWhenUsed/>
    <w:qFormat/>
    <w:pPr>
      <w:keepLines/>
      <w:keepNext/>
      <w:spacing w:before="360" w:line="240" w:lineRule="auto"/>
      <w:outlineLvl w:val="1"/>
    </w:pPr>
    <w:rPr>
      <w:rFonts w:ascii="Arial" w:hAnsi="Arial" w:eastAsia="Arial" w:cs="Arial"/>
      <w:sz w:val="34"/>
    </w:rPr>
  </w:style>
  <w:style w:type="character" w:styleId="740" w:customStyle="1">
    <w:name w:val="Heading 2 Char"/>
    <w:basedOn w:val="734"/>
    <w:rPr>
      <w:rFonts w:ascii="Arial" w:hAnsi="Arial" w:eastAsia="Arial" w:cs="Arial"/>
      <w:sz w:val="34"/>
    </w:rPr>
  </w:style>
  <w:style w:type="paragraph" w:styleId="741" w:customStyle="1">
    <w:name w:val="Heading 3"/>
    <w:basedOn w:val="733"/>
    <w:unhideWhenUsed/>
    <w:qFormat/>
    <w:pPr>
      <w:keepLines/>
      <w:keepNext/>
      <w:spacing w:before="320" w:line="240" w:lineRule="auto"/>
      <w:outlineLvl w:val="2"/>
    </w:pPr>
    <w:rPr>
      <w:rFonts w:ascii="Arial" w:hAnsi="Arial" w:eastAsia="Arial" w:cs="Arial"/>
      <w:sz w:val="30"/>
    </w:rPr>
  </w:style>
  <w:style w:type="character" w:styleId="742" w:customStyle="1">
    <w:name w:val="Heading 3 Char"/>
    <w:basedOn w:val="734"/>
    <w:rPr>
      <w:rFonts w:ascii="Arial" w:hAnsi="Arial" w:eastAsia="Arial" w:cs="Arial"/>
      <w:sz w:val="30"/>
    </w:rPr>
  </w:style>
  <w:style w:type="paragraph" w:styleId="743" w:customStyle="1">
    <w:name w:val="Heading 4"/>
    <w:basedOn w:val="733"/>
    <w:unhideWhenUsed/>
    <w:qFormat/>
    <w:pPr>
      <w:keepLines/>
      <w:keepNext/>
      <w:spacing w:before="32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744" w:customStyle="1">
    <w:name w:val="Heading 4 Char"/>
    <w:basedOn w:val="734"/>
    <w:rPr>
      <w:rFonts w:ascii="Arial" w:hAnsi="Arial" w:eastAsia="Arial" w:cs="Arial"/>
      <w:b/>
      <w:sz w:val="26"/>
    </w:rPr>
  </w:style>
  <w:style w:type="paragraph" w:styleId="745" w:customStyle="1">
    <w:name w:val="Heading 5"/>
    <w:basedOn w:val="733"/>
    <w:unhideWhenUsed/>
    <w:qFormat/>
    <w:pPr>
      <w:keepLines/>
      <w:keepNext/>
      <w:spacing w:before="32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746" w:customStyle="1">
    <w:name w:val="Heading 5 Char"/>
    <w:basedOn w:val="734"/>
    <w:rPr>
      <w:rFonts w:ascii="Arial" w:hAnsi="Arial" w:eastAsia="Arial" w:cs="Arial"/>
      <w:b/>
      <w:sz w:val="24"/>
    </w:rPr>
  </w:style>
  <w:style w:type="paragraph" w:styleId="747" w:customStyle="1">
    <w:name w:val="Heading 6"/>
    <w:basedOn w:val="733"/>
    <w:unhideWhenUsed/>
    <w:qFormat/>
    <w:pPr>
      <w:keepLines/>
      <w:keepNext/>
      <w:spacing w:before="320" w:line="240" w:lineRule="auto"/>
      <w:outlineLvl w:val="5"/>
    </w:pPr>
    <w:rPr>
      <w:rFonts w:ascii="Arial" w:hAnsi="Arial" w:eastAsia="Arial" w:cs="Arial"/>
      <w:b/>
    </w:rPr>
  </w:style>
  <w:style w:type="character" w:styleId="748" w:customStyle="1">
    <w:name w:val="Heading 6 Char"/>
    <w:basedOn w:val="734"/>
    <w:rPr>
      <w:rFonts w:ascii="Arial" w:hAnsi="Arial" w:eastAsia="Arial" w:cs="Arial"/>
      <w:b/>
      <w:sz w:val="22"/>
    </w:rPr>
  </w:style>
  <w:style w:type="paragraph" w:styleId="749" w:customStyle="1">
    <w:name w:val="Heading 7"/>
    <w:basedOn w:val="733"/>
    <w:unhideWhenUsed/>
    <w:qFormat/>
    <w:pPr>
      <w:keepLines/>
      <w:keepNext/>
      <w:spacing w:before="320" w:line="240" w:lineRule="auto"/>
      <w:outlineLvl w:val="6"/>
    </w:pPr>
    <w:rPr>
      <w:rFonts w:ascii="Arial" w:hAnsi="Arial" w:eastAsia="Arial" w:cs="Arial"/>
      <w:b/>
      <w:i/>
    </w:rPr>
  </w:style>
  <w:style w:type="character" w:styleId="750" w:customStyle="1">
    <w:name w:val="Heading 7 Char"/>
    <w:basedOn w:val="734"/>
    <w:rPr>
      <w:rFonts w:ascii="Arial" w:hAnsi="Arial" w:eastAsia="Arial" w:cs="Arial"/>
      <w:b/>
      <w:i/>
      <w:sz w:val="22"/>
    </w:rPr>
  </w:style>
  <w:style w:type="paragraph" w:styleId="751" w:customStyle="1">
    <w:name w:val="Heading 8"/>
    <w:basedOn w:val="733"/>
    <w:unhideWhenUsed/>
    <w:qFormat/>
    <w:pPr>
      <w:keepLines/>
      <w:keepNext/>
      <w:spacing w:before="320" w:line="240" w:lineRule="auto"/>
      <w:outlineLvl w:val="7"/>
    </w:pPr>
    <w:rPr>
      <w:rFonts w:ascii="Arial" w:hAnsi="Arial" w:eastAsia="Arial" w:cs="Arial"/>
      <w:i/>
    </w:rPr>
  </w:style>
  <w:style w:type="character" w:styleId="752" w:customStyle="1">
    <w:name w:val="Heading 8 Char"/>
    <w:basedOn w:val="734"/>
    <w:rPr>
      <w:rFonts w:ascii="Arial" w:hAnsi="Arial" w:eastAsia="Arial" w:cs="Arial"/>
      <w:i/>
      <w:sz w:val="22"/>
    </w:rPr>
  </w:style>
  <w:style w:type="paragraph" w:styleId="753" w:customStyle="1">
    <w:name w:val="Heading 9"/>
    <w:basedOn w:val="733"/>
    <w:unhideWhenUsed/>
    <w:qFormat/>
    <w:pPr>
      <w:keepLines/>
      <w:keepNext/>
      <w:spacing w:before="32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754" w:customStyle="1">
    <w:name w:val="Heading 9 Char"/>
    <w:basedOn w:val="734"/>
    <w:rPr>
      <w:rFonts w:ascii="Arial" w:hAnsi="Arial" w:eastAsia="Arial" w:cs="Arial"/>
      <w:i/>
      <w:sz w:val="21"/>
    </w:rPr>
  </w:style>
  <w:style w:type="paragraph" w:styleId="755">
    <w:name w:val="List Paragraph"/>
    <w:basedOn w:val="733"/>
    <w:qFormat/>
    <w:pPr>
      <w:contextualSpacing/>
      <w:ind w:left="720"/>
      <w:spacing w:after="0" w:line="240" w:lineRule="auto"/>
    </w:pPr>
    <w:rPr>
      <w:rFonts w:ascii="LiberationSerif" w:hAnsi="LiberationSerif" w:eastAsia="LiberationSerif" w:cs="LiberationSerif"/>
      <w:sz w:val="24"/>
    </w:rPr>
  </w:style>
  <w:style w:type="paragraph" w:styleId="756">
    <w:name w:val="No Spacing"/>
    <w:qFormat/>
  </w:style>
  <w:style w:type="paragraph" w:styleId="757">
    <w:name w:val="Title"/>
    <w:basedOn w:val="733"/>
    <w:pPr>
      <w:spacing w:before="120" w:after="120"/>
    </w:pPr>
    <w:rPr>
      <w:i/>
      <w:sz w:val="24"/>
    </w:rPr>
  </w:style>
  <w:style w:type="character" w:styleId="758" w:customStyle="1">
    <w:name w:val="Title Char"/>
    <w:basedOn w:val="734"/>
    <w:rPr>
      <w:rFonts w:ascii="LiberationSerif" w:hAnsi="LiberationSerif" w:eastAsia="LiberationSerif" w:cs="LiberationSerif"/>
      <w:sz w:val="48"/>
    </w:rPr>
  </w:style>
  <w:style w:type="paragraph" w:styleId="759">
    <w:name w:val="Subtitle"/>
    <w:basedOn w:val="733"/>
    <w:qFormat/>
    <w:pPr>
      <w:spacing w:before="200" w:line="240" w:lineRule="auto"/>
    </w:pPr>
    <w:rPr>
      <w:rFonts w:ascii="LiberationSerif" w:hAnsi="LiberationSerif" w:eastAsia="LiberationSerif" w:cs="LiberationSerif"/>
      <w:sz w:val="24"/>
    </w:rPr>
  </w:style>
  <w:style w:type="character" w:styleId="760" w:customStyle="1">
    <w:name w:val="Subtitle Char"/>
    <w:basedOn w:val="734"/>
    <w:rPr>
      <w:rFonts w:ascii="LiberationSerif" w:hAnsi="LiberationSerif" w:eastAsia="LiberationSerif" w:cs="LiberationSerif"/>
      <w:sz w:val="24"/>
    </w:rPr>
  </w:style>
  <w:style w:type="paragraph" w:styleId="761">
    <w:name w:val="Quote"/>
    <w:basedOn w:val="733"/>
    <w:qFormat/>
    <w:pPr>
      <w:ind w:left="720"/>
      <w:spacing w:after="0" w:line="240" w:lineRule="auto"/>
    </w:pPr>
    <w:rPr>
      <w:rFonts w:ascii="LiberationSerif" w:hAnsi="LiberationSerif" w:eastAsia="LiberationSerif" w:cs="LiberationSerif"/>
      <w:i/>
      <w:sz w:val="24"/>
    </w:rPr>
  </w:style>
  <w:style w:type="character" w:styleId="762" w:customStyle="1">
    <w:name w:val="Quote Char"/>
    <w:rPr>
      <w:rFonts w:ascii="LiberationSerif" w:hAnsi="LiberationSerif" w:eastAsia="LiberationSerif" w:cs="LiberationSerif"/>
      <w:i/>
      <w:sz w:val="24"/>
    </w:rPr>
  </w:style>
  <w:style w:type="paragraph" w:styleId="763">
    <w:name w:val="Intense Quote"/>
    <w:basedOn w:val="733"/>
    <w:qFormat/>
    <w:pPr>
      <w:ind w:left="720"/>
      <w:spacing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LiberationSerif" w:hAnsi="LiberationSerif" w:eastAsia="LiberationSerif" w:cs="LiberationSerif"/>
      <w:i/>
      <w:sz w:val="24"/>
    </w:rPr>
  </w:style>
  <w:style w:type="character" w:styleId="764" w:customStyle="1">
    <w:name w:val="Intense Quote Char"/>
    <w:rPr>
      <w:rFonts w:ascii="LiberationSerif" w:hAnsi="LiberationSerif" w:eastAsia="LiberationSerif" w:cs="LiberationSerif"/>
      <w:i/>
      <w:sz w:val="24"/>
    </w:rPr>
  </w:style>
  <w:style w:type="paragraph" w:styleId="765" w:customStyle="1">
    <w:name w:val="Header"/>
    <w:basedOn w:val="733"/>
    <w:unhideWhenUsed/>
    <w:pPr>
      <w:spacing w:after="0" w:line="240" w:lineRule="auto"/>
      <w:tabs>
        <w:tab w:val="center" w:pos="7143" w:leader="none"/>
        <w:tab w:val="right" w:pos="14287" w:leader="none"/>
      </w:tabs>
    </w:pPr>
    <w:rPr>
      <w:rFonts w:ascii="LiberationSerif" w:hAnsi="LiberationSerif" w:eastAsia="LiberationSerif" w:cs="LiberationSerif"/>
      <w:sz w:val="24"/>
    </w:rPr>
  </w:style>
  <w:style w:type="character" w:styleId="766" w:customStyle="1">
    <w:name w:val="Header Char"/>
    <w:basedOn w:val="734"/>
    <w:rPr>
      <w:rFonts w:ascii="LiberationSerif" w:hAnsi="LiberationSerif" w:eastAsia="LiberationSerif" w:cs="LiberationSerif"/>
      <w:sz w:val="24"/>
    </w:rPr>
  </w:style>
  <w:style w:type="paragraph" w:styleId="767" w:customStyle="1">
    <w:name w:val="Footer"/>
    <w:basedOn w:val="733"/>
    <w:unhideWhenUsed/>
    <w:pPr>
      <w:spacing w:after="0" w:line="240" w:lineRule="auto"/>
      <w:tabs>
        <w:tab w:val="center" w:pos="7143" w:leader="none"/>
        <w:tab w:val="right" w:pos="14287" w:leader="none"/>
      </w:tabs>
    </w:pPr>
    <w:rPr>
      <w:rFonts w:ascii="LiberationSerif" w:hAnsi="LiberationSerif" w:eastAsia="LiberationSerif" w:cs="LiberationSerif"/>
      <w:sz w:val="24"/>
    </w:rPr>
  </w:style>
  <w:style w:type="character" w:styleId="768" w:customStyle="1">
    <w:name w:val="Footer Char"/>
    <w:basedOn w:val="734"/>
    <w:rPr>
      <w:rFonts w:ascii="LiberationSerif" w:hAnsi="LiberationSerif" w:eastAsia="LiberationSerif" w:cs="LiberationSerif"/>
      <w:sz w:val="24"/>
    </w:rPr>
  </w:style>
  <w:style w:type="paragraph" w:styleId="769" w:customStyle="1">
    <w:name w:val="Caption"/>
    <w:basedOn w:val="733"/>
    <w:semiHidden/>
    <w:unhideWhenUsed/>
    <w:qFormat/>
    <w:pPr>
      <w:spacing w:after="0"/>
    </w:pPr>
    <w:rPr>
      <w:rFonts w:ascii="LiberationSerif" w:hAnsi="LiberationSerif" w:eastAsia="LiberationSerif" w:cs="LiberationSerif"/>
      <w:b/>
      <w:color w:val="4f81bd"/>
      <w:sz w:val="18"/>
    </w:rPr>
  </w:style>
  <w:style w:type="character" w:styleId="770" w:customStyle="1">
    <w:name w:val="Caption Char"/>
    <w:rPr>
      <w:rFonts w:ascii="LiberationSerif" w:hAnsi="LiberationSerif" w:eastAsia="LiberationSerif" w:cs="LiberationSerif"/>
      <w:sz w:val="24"/>
    </w:rPr>
  </w:style>
  <w:style w:type="table" w:styleId="771">
    <w:name w:val="Table Gri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Table Grid Light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Plain Table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Plain Table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Plain Table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Plain Table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Plain Table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1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2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3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4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5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6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1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2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3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4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5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6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1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2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3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4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5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6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7">
    <w:name w:val="Hyperlink"/>
    <w:unhideWhenUsed/>
    <w:rPr>
      <w:rFonts w:ascii="LiberationSerif" w:hAnsi="LiberationSerif" w:eastAsia="LiberationSerif" w:cs="LiberationSerif"/>
      <w:color w:val="0000ff"/>
      <w:sz w:val="24"/>
      <w:u w:val="single"/>
    </w:rPr>
  </w:style>
  <w:style w:type="paragraph" w:styleId="898">
    <w:name w:val="footnote text"/>
    <w:basedOn w:val="733"/>
    <w:semiHidden/>
    <w:unhideWhenUsed/>
    <w:pPr>
      <w:spacing w:after="40" w:line="240" w:lineRule="auto"/>
    </w:pPr>
    <w:rPr>
      <w:rFonts w:ascii="LiberationSerif" w:hAnsi="LiberationSerif" w:eastAsia="LiberationSerif" w:cs="LiberationSerif"/>
      <w:sz w:val="18"/>
    </w:rPr>
  </w:style>
  <w:style w:type="character" w:styleId="899" w:customStyle="1">
    <w:name w:val="Footnote Text Char"/>
    <w:rPr>
      <w:rFonts w:ascii="LiberationSerif" w:hAnsi="LiberationSerif" w:eastAsia="LiberationSerif" w:cs="LiberationSerif"/>
      <w:sz w:val="18"/>
    </w:rPr>
  </w:style>
  <w:style w:type="character" w:styleId="900">
    <w:name w:val="footnote reference"/>
    <w:basedOn w:val="734"/>
    <w:unhideWhenUsed/>
    <w:rPr>
      <w:rFonts w:ascii="LiberationSerif" w:hAnsi="LiberationSerif" w:eastAsia="LiberationSerif" w:cs="LiberationSerif"/>
      <w:sz w:val="24"/>
      <w:vertAlign w:val="superscript"/>
    </w:rPr>
  </w:style>
  <w:style w:type="paragraph" w:styleId="901">
    <w:name w:val="endnote text"/>
    <w:basedOn w:val="733"/>
    <w:semiHidden/>
    <w:unhideWhenUsed/>
    <w:pPr>
      <w:spacing w:after="0" w:line="240" w:lineRule="auto"/>
    </w:pPr>
    <w:rPr>
      <w:rFonts w:ascii="LiberationSerif" w:hAnsi="LiberationSerif" w:eastAsia="LiberationSerif" w:cs="LiberationSerif"/>
      <w:sz w:val="20"/>
    </w:rPr>
  </w:style>
  <w:style w:type="character" w:styleId="902" w:customStyle="1">
    <w:name w:val="Endnote Text Char"/>
    <w:rPr>
      <w:rFonts w:ascii="LiberationSerif" w:hAnsi="LiberationSerif" w:eastAsia="LiberationSerif" w:cs="LiberationSerif"/>
      <w:sz w:val="20"/>
    </w:rPr>
  </w:style>
  <w:style w:type="character" w:styleId="903">
    <w:name w:val="endnote reference"/>
    <w:basedOn w:val="734"/>
    <w:semiHidden/>
    <w:unhideWhenUsed/>
    <w:rPr>
      <w:rFonts w:ascii="LiberationSerif" w:hAnsi="LiberationSerif" w:eastAsia="LiberationSerif" w:cs="LiberationSerif"/>
      <w:sz w:val="24"/>
      <w:vertAlign w:val="superscript"/>
    </w:rPr>
  </w:style>
  <w:style w:type="paragraph" w:styleId="904">
    <w:name w:val="toc 1"/>
    <w:basedOn w:val="733"/>
    <w:unhideWhenUsed/>
    <w:pPr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905">
    <w:name w:val="toc 2"/>
    <w:basedOn w:val="733"/>
    <w:unhideWhenUsed/>
    <w:pPr>
      <w:ind w:left="283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906">
    <w:name w:val="toc 3"/>
    <w:basedOn w:val="733"/>
    <w:unhideWhenUsed/>
    <w:pPr>
      <w:ind w:left="567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907">
    <w:name w:val="toc 4"/>
    <w:basedOn w:val="733"/>
    <w:unhideWhenUsed/>
    <w:pPr>
      <w:ind w:left="850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908">
    <w:name w:val="toc 5"/>
    <w:basedOn w:val="733"/>
    <w:unhideWhenUsed/>
    <w:pPr>
      <w:ind w:left="1134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909">
    <w:name w:val="toc 6"/>
    <w:basedOn w:val="733"/>
    <w:unhideWhenUsed/>
    <w:pPr>
      <w:ind w:left="1417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910">
    <w:name w:val="toc 7"/>
    <w:basedOn w:val="733"/>
    <w:unhideWhenUsed/>
    <w:pPr>
      <w:ind w:left="1701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911">
    <w:name w:val="toc 8"/>
    <w:basedOn w:val="733"/>
    <w:unhideWhenUsed/>
    <w:pPr>
      <w:ind w:left="1984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912">
    <w:name w:val="toc 9"/>
    <w:basedOn w:val="733"/>
    <w:unhideWhenUsed/>
    <w:pPr>
      <w:ind w:left="2268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913">
    <w:name w:val="TOC Heading"/>
    <w:unhideWhenUsed/>
  </w:style>
  <w:style w:type="paragraph" w:styleId="914">
    <w:name w:val="table of figures"/>
    <w:basedOn w:val="733"/>
    <w:unhideWhenUsed/>
    <w:pPr>
      <w:spacing w:after="0" w:line="240" w:lineRule="auto"/>
    </w:pPr>
    <w:rPr>
      <w:rFonts w:ascii="LiberationSerif" w:hAnsi="LiberationSerif" w:eastAsia="LiberationSerif" w:cs="LiberationSerif"/>
      <w:sz w:val="24"/>
    </w:rPr>
  </w:style>
  <w:style w:type="character" w:styleId="915" w:customStyle="1">
    <w:name w:val="Верхний колонтитул Знак"/>
    <w:basedOn w:val="734"/>
    <w:rPr>
      <w:rFonts w:ascii="LiberationSerif" w:hAnsi="LiberationSerif" w:eastAsia="LiberationSerif" w:cs="LiberationSerif"/>
      <w:sz w:val="24"/>
    </w:rPr>
  </w:style>
  <w:style w:type="character" w:styleId="916" w:customStyle="1">
    <w:name w:val="Нижний колонтитул Знак"/>
    <w:basedOn w:val="734"/>
    <w:rPr>
      <w:rFonts w:ascii="LiberationSerif" w:hAnsi="LiberationSerif" w:eastAsia="LiberationSerif" w:cs="LiberationSerif"/>
      <w:sz w:val="24"/>
    </w:rPr>
  </w:style>
  <w:style w:type="character" w:styleId="917" w:customStyle="1">
    <w:name w:val="ListLabel 1"/>
    <w:rPr>
      <w:rFonts w:ascii="LiberationSerif" w:hAnsi="LiberationSerif" w:eastAsia="LiberationSerif" w:cs="LiberationSerif"/>
      <w:sz w:val="24"/>
    </w:rPr>
  </w:style>
  <w:style w:type="character" w:styleId="918" w:customStyle="1">
    <w:name w:val="ListLabel 2"/>
    <w:rPr>
      <w:rFonts w:ascii="LiberationSerif" w:hAnsi="LiberationSerif" w:eastAsia="LiberationSerif" w:cs="LiberationSerif"/>
      <w:sz w:val="24"/>
    </w:rPr>
  </w:style>
  <w:style w:type="character" w:styleId="919" w:customStyle="1">
    <w:name w:val="ListLabel 3"/>
    <w:rPr>
      <w:rFonts w:ascii="LiberationSerif" w:hAnsi="LiberationSerif" w:eastAsia="LiberationSerif" w:cs="LiberationSerif"/>
      <w:sz w:val="24"/>
    </w:rPr>
  </w:style>
  <w:style w:type="character" w:styleId="920" w:customStyle="1">
    <w:name w:val="ListLabel 4"/>
    <w:rPr>
      <w:rFonts w:ascii="LiberationSerif" w:hAnsi="LiberationSerif" w:eastAsia="LiberationSerif" w:cs="LiberationSerif"/>
      <w:sz w:val="24"/>
    </w:rPr>
  </w:style>
  <w:style w:type="character" w:styleId="921" w:customStyle="1">
    <w:name w:val="ListLabel 5"/>
    <w:rPr>
      <w:rFonts w:ascii="LiberationSerif" w:hAnsi="LiberationSerif" w:eastAsia="LiberationSerif" w:cs="LiberationSerif"/>
      <w:sz w:val="24"/>
    </w:rPr>
  </w:style>
  <w:style w:type="character" w:styleId="922" w:customStyle="1">
    <w:name w:val="ListLabel 6"/>
    <w:rPr>
      <w:rFonts w:ascii="LiberationSerif" w:hAnsi="LiberationSerif" w:eastAsia="LiberationSerif" w:cs="LiberationSerif"/>
      <w:sz w:val="24"/>
    </w:rPr>
  </w:style>
  <w:style w:type="character" w:styleId="923" w:customStyle="1">
    <w:name w:val="ListLabel 7"/>
    <w:rPr>
      <w:rFonts w:ascii="LiberationSerif" w:hAnsi="LiberationSerif" w:eastAsia="LiberationSerif" w:cs="LiberationSerif"/>
      <w:sz w:val="24"/>
    </w:rPr>
  </w:style>
  <w:style w:type="character" w:styleId="924" w:customStyle="1">
    <w:name w:val="ListLabel 8"/>
    <w:rPr>
      <w:rFonts w:ascii="LiberationSerif" w:hAnsi="LiberationSerif" w:eastAsia="LiberationSerif" w:cs="LiberationSerif"/>
      <w:sz w:val="24"/>
    </w:rPr>
  </w:style>
  <w:style w:type="character" w:styleId="925" w:customStyle="1">
    <w:name w:val="ListLabel 9"/>
    <w:rPr>
      <w:rFonts w:ascii="LiberationSerif" w:hAnsi="LiberationSerif" w:eastAsia="LiberationSerif" w:cs="LiberationSerif"/>
      <w:sz w:val="24"/>
    </w:rPr>
  </w:style>
  <w:style w:type="paragraph" w:styleId="926" w:customStyle="1">
    <w:name w:val="Заголовок"/>
    <w:basedOn w:val="733"/>
    <w:pPr>
      <w:keepNext/>
      <w:spacing w:before="240" w:after="120"/>
    </w:pPr>
    <w:rPr>
      <w:rFonts w:ascii="LiberationSans" w:hAnsi="LiberationSans" w:eastAsia="LiberationSans" w:cs="LiberationSans"/>
      <w:sz w:val="28"/>
    </w:rPr>
  </w:style>
  <w:style w:type="paragraph" w:styleId="927">
    <w:name w:val="Body Text"/>
    <w:basedOn w:val="733"/>
    <w:pPr>
      <w:spacing w:after="140"/>
    </w:pPr>
  </w:style>
  <w:style w:type="paragraph" w:styleId="928">
    <w:name w:val="List"/>
    <w:basedOn w:val="927"/>
  </w:style>
  <w:style w:type="paragraph" w:styleId="929">
    <w:name w:val="index heading"/>
    <w:basedOn w:val="733"/>
  </w:style>
  <w:style w:type="paragraph" w:styleId="930" w:customStyle="1">
    <w:name w:val="Обычная таблица1"/>
    <w:pPr>
      <w:spacing w:after="200" w:line="276" w:lineRule="auto"/>
    </w:pPr>
    <w:rPr>
      <w:rFonts w:ascii="Calibri" w:hAnsi="Calibri" w:eastAsia="Calibri" w:cs="Calibri"/>
      <w:color w:val="000000"/>
      <w:sz w:val="22"/>
    </w:rPr>
  </w:style>
  <w:style w:type="paragraph" w:styleId="931" w:customStyle="1">
    <w:name w:val="ConsPlusNormal"/>
    <w:rPr>
      <w:rFonts w:ascii="Arial" w:hAnsi="Arial" w:eastAsia="Arial" w:cs="Arial"/>
      <w:color w:val="000000"/>
      <w:sz w:val="20"/>
    </w:rPr>
  </w:style>
  <w:style w:type="paragraph" w:styleId="932" w:customStyle="1">
    <w:name w:val="ConsPlusNonformat"/>
    <w:rPr>
      <w:rFonts w:ascii="CourierNew" w:hAnsi="CourierNew" w:eastAsia="CourierNew" w:cs="CourierNew"/>
      <w:color w:val="000000"/>
      <w:sz w:val="20"/>
    </w:rPr>
  </w:style>
  <w:style w:type="paragraph" w:styleId="933" w:customStyle="1">
    <w:name w:val="ConsPlusTitle"/>
    <w:rPr>
      <w:rFonts w:ascii="Arial" w:hAnsi="Arial" w:eastAsia="Arial" w:cs="Arial"/>
      <w:b/>
      <w:color w:val="000000"/>
      <w:sz w:val="20"/>
    </w:rPr>
  </w:style>
  <w:style w:type="paragraph" w:styleId="934" w:customStyle="1">
    <w:name w:val="ConsPlusCell"/>
    <w:rPr>
      <w:rFonts w:ascii="CourierNew" w:hAnsi="CourierNew" w:eastAsia="CourierNew" w:cs="CourierNew"/>
      <w:color w:val="000000"/>
      <w:sz w:val="20"/>
    </w:rPr>
  </w:style>
  <w:style w:type="paragraph" w:styleId="935" w:customStyle="1">
    <w:name w:val="ConsPlusDocList"/>
    <w:rPr>
      <w:rFonts w:ascii="CourierNew" w:hAnsi="CourierNew" w:eastAsia="CourierNew" w:cs="CourierNew"/>
      <w:color w:val="000000"/>
      <w:sz w:val="20"/>
    </w:rPr>
  </w:style>
  <w:style w:type="paragraph" w:styleId="936" w:customStyle="1">
    <w:name w:val="ConsPlusTitlePage"/>
    <w:rPr>
      <w:rFonts w:ascii="Tahoma" w:hAnsi="Tahoma" w:eastAsia="Tahoma" w:cs="Tahoma"/>
      <w:color w:val="000000"/>
      <w:sz w:val="20"/>
    </w:rPr>
  </w:style>
  <w:style w:type="paragraph" w:styleId="937" w:customStyle="1">
    <w:name w:val="ConsPlusJurTerm"/>
    <w:rPr>
      <w:rFonts w:ascii="Arial" w:hAnsi="Arial" w:eastAsia="Arial" w:cs="Arial"/>
      <w:color w:val="000000"/>
      <w:sz w:val="26"/>
    </w:rPr>
  </w:style>
  <w:style w:type="paragraph" w:styleId="938" w:customStyle="1">
    <w:name w:val="ConsPlusTextList"/>
    <w:rPr>
      <w:rFonts w:ascii="Arial" w:hAnsi="Arial" w:eastAsia="Arial" w:cs="Arial"/>
      <w:color w:val="000000"/>
      <w:sz w:val="20"/>
    </w:rPr>
  </w:style>
  <w:style w:type="paragraph" w:styleId="939" w:customStyle="1">
    <w:name w:val="ConsPlusTextList1"/>
    <w:rPr>
      <w:rFonts w:ascii="Arial" w:hAnsi="Arial" w:eastAsia="Arial" w:cs="Arial"/>
      <w:color w:val="000000"/>
      <w:sz w:val="20"/>
    </w:rPr>
  </w:style>
  <w:style w:type="paragraph" w:styleId="940" w:customStyle="1">
    <w:name w:val="Верхний и нижний колонтитулы"/>
    <w:basedOn w:val="733"/>
  </w:style>
  <w:style w:type="paragraph" w:styleId="941">
    <w:name w:val="Header"/>
    <w:basedOn w:val="733"/>
    <w:pPr>
      <w:tabs>
        <w:tab w:val="center" w:pos="4677" w:leader="none"/>
        <w:tab w:val="right" w:pos="9355" w:leader="none"/>
      </w:tabs>
    </w:pPr>
  </w:style>
  <w:style w:type="paragraph" w:styleId="942">
    <w:name w:val="Footer"/>
    <w:basedOn w:val="733"/>
    <w:pPr>
      <w:tabs>
        <w:tab w:val="center" w:pos="4677" w:leader="none"/>
        <w:tab w:val="right" w:pos="9355" w:leader="none"/>
      </w:tabs>
    </w:pPr>
  </w:style>
  <w:style w:type="table" w:styleId="943" w:customStyle="1">
    <w:name w:val="StGen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44" w:customStyle="1">
    <w:name w:val="Обычный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????????????? ????????????? ??????? ?? 16.12.2019 N 476-?(???. ?? 10.03.2022)&amp;amp;quot;? ??????? ????????????? ?????????????? ???????? ?? ??????????? ???????????????? ?????????? ????????? ? ???? ??????????? ???????? ????? ? ??????????? ??????? ? ????</dc:title>
  <dc:creator>User</dc:creator>
  <cp:revision>48</cp:revision>
  <dcterms:created xsi:type="dcterms:W3CDTF">2023-11-09T13:34:00Z</dcterms:created>
  <dcterms:modified xsi:type="dcterms:W3CDTF">2024-06-25T07:22:17Z</dcterms:modified>
</cp:coreProperties>
</file>