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76" w:type="dxa"/>
        <w:tblLook w:val="04A0" w:firstRow="1" w:lastRow="0" w:firstColumn="1" w:lastColumn="0" w:noHBand="0" w:noVBand="1"/>
      </w:tblPr>
      <w:tblGrid>
        <w:gridCol w:w="222"/>
        <w:gridCol w:w="9779"/>
      </w:tblGrid>
      <w:tr>
        <w:tblPrEx/>
        <w:trPr>
          <w:trHeight w:val="2314"/>
        </w:trPr>
        <w:tc>
          <w:tcPr>
            <w:shd w:val="clear" w:color="auto" w:fill="auto"/>
            <w:tcW w:w="5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9263" w:type="dxa"/>
            <w:textDirection w:val="lrTb"/>
            <w:noWrap w:val="false"/>
          </w:tcPr>
          <w:p>
            <w:pPr>
              <w:ind w:firstLine="59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УТВЕРЖДЕНО</w:t>
            </w:r>
            <w:r>
              <w:rPr>
                <w:sz w:val="28"/>
                <w:szCs w:val="28"/>
              </w:rPr>
            </w:r>
          </w:p>
          <w:p>
            <w:pPr>
              <w:ind w:left="59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департамента имущества и земельных отношений Новосибирской области</w:t>
            </w:r>
            <w:r>
              <w:rPr>
                <w:sz w:val="28"/>
                <w:szCs w:val="28"/>
              </w:rPr>
            </w:r>
          </w:p>
          <w:p>
            <w:pPr>
              <w:ind w:firstLine="59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от___________№___________</w:t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ПОРЯДОК</w:t>
      </w:r>
      <w:r>
        <w:rPr>
          <w:b/>
          <w:color w:val="000000" w:themeColor="text1"/>
          <w:sz w:val="28"/>
          <w:szCs w:val="28"/>
        </w:rPr>
      </w:r>
    </w:p>
    <w:p>
      <w:pPr>
        <w:pStyle w:val="699"/>
        <w:ind w:left="0" w:right="0" w:firstLine="0"/>
        <w:jc w:val="center"/>
        <w:spacing w:after="0" w:line="240" w:lineRule="auto"/>
        <w:rPr>
          <w:color w:val="auto"/>
          <w:szCs w:val="28"/>
        </w:rPr>
      </w:pPr>
      <w:r>
        <w:rPr>
          <w:color w:val="auto"/>
          <w:szCs w:val="28"/>
        </w:rPr>
        <w:t xml:space="preserve">проведения реинжиниринга процессов в </w:t>
      </w:r>
      <w:r>
        <w:rPr>
          <w:color w:val="auto"/>
          <w:szCs w:val="28"/>
        </w:rPr>
        <w:t xml:space="preserve">департаменте имущества и земельных отношений Новосибирской области</w:t>
      </w:r>
      <w:r>
        <w:rPr>
          <w:color w:val="auto"/>
          <w:szCs w:val="28"/>
        </w:rPr>
      </w:r>
    </w:p>
    <w:p>
      <w:pPr>
        <w:pStyle w:val="699"/>
        <w:ind w:left="0" w:right="0" w:firstLine="709"/>
        <w:spacing w:after="0"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699"/>
        <w:contextualSpacing w:val="0"/>
        <w:ind w:left="0" w:right="0" w:firstLine="0"/>
        <w:jc w:val="center"/>
        <w:spacing w:after="0" w:line="276" w:lineRule="auto"/>
        <w:rPr>
          <w:color w:val="auto"/>
          <w:szCs w:val="28"/>
        </w:rPr>
      </w:pPr>
      <w:r>
        <w:rPr>
          <w:color w:val="auto"/>
          <w:szCs w:val="28"/>
          <w:lang w:val="en-US"/>
        </w:rPr>
        <w:t xml:space="preserve">I</w:t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t xml:space="preserve"> </w:t>
      </w:r>
      <w:r>
        <w:rPr>
          <w:color w:val="auto"/>
          <w:szCs w:val="28"/>
        </w:rPr>
        <w:t xml:space="preserve">Общие положения</w:t>
      </w:r>
      <w:r>
        <w:rPr>
          <w:color w:val="auto"/>
          <w:szCs w:val="28"/>
        </w:rPr>
      </w:r>
    </w:p>
    <w:p>
      <w:pPr>
        <w:pStyle w:val="699"/>
        <w:contextualSpacing w:val="0"/>
        <w:ind w:left="0" w:right="0" w:firstLine="0"/>
        <w:jc w:val="center"/>
        <w:spacing w:after="0" w:line="276" w:lineRule="auto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определяет проведение реинжиниринга процессов и представляет собой описание этапов исследований</w:t>
      </w:r>
      <w:r>
        <w:rPr>
          <w:sz w:val="28"/>
          <w:szCs w:val="28"/>
        </w:rPr>
        <w:t xml:space="preserve"> и при необходимости </w:t>
      </w:r>
      <w:r>
        <w:rPr>
          <w:sz w:val="28"/>
          <w:szCs w:val="28"/>
        </w:rPr>
        <w:t xml:space="preserve">изменений (перепроектирования) процессов, составляющих деятельность </w:t>
      </w:r>
      <w:r>
        <w:rPr>
          <w:sz w:val="28"/>
          <w:szCs w:val="28"/>
        </w:rPr>
        <w:t xml:space="preserve">департамента имущества и земельных отношений Новосибирской области (далее – департамент)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именно: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предоставлении государственных услуг департамента; 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обращений и запросов; 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обеспечении доступа к информации о деятельности департамента;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взаимодействии с внутренним клиентом, в том числе по вопросам информационно-технического обеспечения, ведения бухгалтерского учета, осуществления административно-хозяйственной деятельности, управл</w:t>
      </w:r>
      <w:r>
        <w:rPr>
          <w:sz w:val="28"/>
          <w:szCs w:val="28"/>
        </w:rPr>
        <w:t xml:space="preserve">ения государственным имуществом </w:t>
      </w:r>
      <w:r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соответственно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реинжиниринг процессов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процессы,</w:t>
      </w:r>
      <w:r>
        <w:rPr>
          <w:sz w:val="28"/>
          <w:szCs w:val="28"/>
        </w:rPr>
        <w:t xml:space="preserve"> клиенты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</w:p>
    <w:p>
      <w:pPr>
        <w:pStyle w:val="699"/>
        <w:contextualSpacing w:val="0"/>
        <w:ind w:left="0" w:right="0" w:firstLine="709"/>
        <w:spacing w:after="0" w:line="240" w:lineRule="auto"/>
        <w:rPr>
          <w:color w:val="auto"/>
          <w:szCs w:val="28"/>
        </w:rPr>
      </w:pPr>
      <w:r>
        <w:rPr>
          <w:color w:val="auto"/>
          <w:szCs w:val="28"/>
        </w:rPr>
        <w:t xml:space="preserve">Полный перечень процессов содержится в Реестре </w:t>
      </w:r>
      <w:r>
        <w:t xml:space="preserve">межведомственных и внутриведомственных процессов департамента</w:t>
      </w:r>
      <w:r>
        <w:rPr>
          <w:color w:val="auto"/>
          <w:szCs w:val="28"/>
        </w:rPr>
        <w:t xml:space="preserve">, утвержденном приказом департамента от 18.12.2023 № 4239.</w:t>
      </w:r>
      <w:r>
        <w:rPr>
          <w:color w:val="auto"/>
          <w:szCs w:val="28"/>
        </w:rPr>
      </w:r>
    </w:p>
    <w:p>
      <w:pPr>
        <w:pStyle w:val="699"/>
        <w:contextualSpacing w:val="0"/>
        <w:ind w:left="0" w:right="0" w:firstLine="709"/>
        <w:spacing w:after="0" w:line="240" w:lineRule="auto"/>
        <w:rPr>
          <w:color w:val="auto"/>
          <w:szCs w:val="28"/>
        </w:rPr>
      </w:pPr>
      <w:r>
        <w:rPr>
          <w:color w:val="auto"/>
          <w:szCs w:val="28"/>
        </w:rPr>
        <w:t xml:space="preserve">2</w:t>
      </w:r>
      <w:r>
        <w:rPr>
          <w:color w:val="auto"/>
          <w:szCs w:val="28"/>
        </w:rPr>
        <w:t xml:space="preserve">.</w:t>
      </w:r>
      <w:r>
        <w:rPr>
          <w:color w:val="000000" w:themeColor="text1"/>
          <w:szCs w:val="28"/>
        </w:rPr>
        <w:t xml:space="preserve"> </w:t>
      </w:r>
      <w:r>
        <w:rPr>
          <w:color w:val="auto"/>
          <w:szCs w:val="28"/>
        </w:rPr>
        <w:t xml:space="preserve">Целью </w:t>
      </w:r>
      <w:r>
        <w:rPr>
          <w:color w:val="auto"/>
          <w:szCs w:val="28"/>
        </w:rPr>
        <w:t xml:space="preserve">проведения реинжиниринга процессов является </w:t>
      </w:r>
      <w:r>
        <w:rPr>
          <w:color w:val="auto"/>
          <w:szCs w:val="28"/>
        </w:rPr>
        <w:t xml:space="preserve">совершенствование</w:t>
      </w:r>
      <w:r>
        <w:rPr>
          <w:color w:val="auto"/>
          <w:szCs w:val="28"/>
        </w:rPr>
        <w:t xml:space="preserve"> деятельности </w:t>
      </w:r>
      <w:r>
        <w:rPr>
          <w:color w:val="auto"/>
          <w:szCs w:val="28"/>
        </w:rPr>
        <w:t xml:space="preserve">департамента</w:t>
      </w:r>
      <w:r>
        <w:rPr>
          <w:color w:val="auto"/>
          <w:szCs w:val="28"/>
        </w:rPr>
        <w:t xml:space="preserve">, в том числе</w:t>
      </w:r>
      <w:r>
        <w:rPr>
          <w:color w:val="auto"/>
          <w:szCs w:val="28"/>
        </w:rPr>
        <w:t xml:space="preserve"> при взаимодействии с гражданами</w:t>
      </w:r>
      <w:r>
        <w:rPr>
          <w:color w:val="auto"/>
          <w:szCs w:val="28"/>
        </w:rPr>
        <w:t xml:space="preserve"> и юридическими лицами</w:t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Реинжиниринг</w:t>
      </w:r>
      <w:r>
        <w:rPr>
          <w:sz w:val="28"/>
          <w:szCs w:val="28"/>
        </w:rPr>
        <w:t xml:space="preserve"> процессов </w:t>
      </w:r>
      <w:r>
        <w:rPr>
          <w:sz w:val="28"/>
          <w:szCs w:val="28"/>
        </w:rPr>
        <w:t xml:space="preserve">состоит из следующих </w:t>
      </w:r>
      <w:r>
        <w:rPr>
          <w:sz w:val="28"/>
          <w:szCs w:val="28"/>
        </w:rPr>
        <w:t xml:space="preserve">этапов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исследование;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проектирование;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реализация.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</w:t>
      </w:r>
      <w:r>
        <w:rPr>
          <w:sz w:val="28"/>
          <w:szCs w:val="28"/>
        </w:rPr>
        <w:t xml:space="preserve">Мероприятия по реинжинирингу процессов осуществляются структурным подразделением</w:t>
      </w:r>
      <w:r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, в состав которого входит ответственное лицо, указанное в </w:t>
      </w:r>
      <w:r>
        <w:rPr>
          <w:sz w:val="28"/>
          <w:szCs w:val="28"/>
        </w:rPr>
        <w:t xml:space="preserve">Реестре межведомственных и внутриведомственных процессов департамента, утвержденном приказом департамента от 18.12.2023 № 4239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если поручением</w:t>
      </w:r>
      <w:r>
        <w:t xml:space="preserve"> </w:t>
      </w:r>
      <w:r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 xml:space="preserve">департамента</w:t>
      </w:r>
      <w:r>
        <w:rPr>
          <w:sz w:val="28"/>
          <w:szCs w:val="28"/>
        </w:rPr>
        <w:t xml:space="preserve"> или заместителя руководителя </w:t>
      </w:r>
      <w:r>
        <w:rPr>
          <w:sz w:val="28"/>
          <w:szCs w:val="28"/>
        </w:rPr>
        <w:t xml:space="preserve">департамента</w:t>
      </w:r>
      <w:r>
        <w:rPr>
          <w:sz w:val="28"/>
          <w:szCs w:val="28"/>
        </w:rPr>
        <w:t xml:space="preserve">, ответственного за внедрение </w:t>
      </w:r>
      <w:r>
        <w:rPr>
          <w:sz w:val="28"/>
          <w:szCs w:val="28"/>
        </w:rPr>
        <w:t xml:space="preserve">принципов и стандартов </w:t>
      </w:r>
      <w:r>
        <w:rPr>
          <w:sz w:val="28"/>
          <w:szCs w:val="28"/>
        </w:rPr>
        <w:t xml:space="preserve">клиентоцентричности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департаменте</w:t>
      </w:r>
      <w:r>
        <w:rPr>
          <w:sz w:val="28"/>
          <w:szCs w:val="28"/>
        </w:rPr>
        <w:t xml:space="preserve">, не </w:t>
      </w:r>
      <w:r>
        <w:rPr>
          <w:sz w:val="28"/>
          <w:szCs w:val="28"/>
        </w:rPr>
        <w:t xml:space="preserve">указано иного</w:t>
      </w:r>
      <w:r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ответственный за процесс, </w:t>
      </w:r>
      <w:r>
        <w:rPr>
          <w:sz w:val="28"/>
          <w:szCs w:val="28"/>
        </w:rPr>
        <w:t xml:space="preserve">ответственн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клиент</w:t>
      </w:r>
      <w:r>
        <w:rPr>
          <w:sz w:val="28"/>
          <w:szCs w:val="28"/>
        </w:rPr>
        <w:t xml:space="preserve">оцентричности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Основаниями для проведения реинжиниринга процесса могут быть: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</w:t>
      </w:r>
      <w:r>
        <w:rPr>
          <w:sz w:val="28"/>
          <w:szCs w:val="28"/>
        </w:rPr>
        <w:t xml:space="preserve">оручение руководителя </w:t>
      </w:r>
      <w:r>
        <w:rPr>
          <w:sz w:val="28"/>
          <w:szCs w:val="28"/>
        </w:rPr>
        <w:t xml:space="preserve">департамента</w:t>
      </w:r>
      <w:r>
        <w:rPr>
          <w:sz w:val="28"/>
          <w:szCs w:val="28"/>
        </w:rPr>
        <w:t xml:space="preserve"> или ответственного по </w:t>
      </w:r>
      <w:r>
        <w:rPr>
          <w:sz w:val="28"/>
          <w:szCs w:val="28"/>
        </w:rPr>
        <w:t xml:space="preserve">клиентоцентричности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у</w:t>
      </w:r>
      <w:r>
        <w:rPr>
          <w:sz w:val="28"/>
          <w:szCs w:val="28"/>
        </w:rPr>
        <w:t xml:space="preserve">стойчивое снижение </w:t>
      </w:r>
      <w:r>
        <w:rPr>
          <w:sz w:val="28"/>
          <w:szCs w:val="28"/>
        </w:rPr>
        <w:t xml:space="preserve">в течение более трех месяцев подряд </w:t>
      </w:r>
      <w:r>
        <w:rPr>
          <w:sz w:val="28"/>
          <w:szCs w:val="28"/>
        </w:rPr>
        <w:t xml:space="preserve">уровня удовлетвор</w:t>
      </w:r>
      <w:r>
        <w:rPr>
          <w:sz w:val="28"/>
          <w:szCs w:val="28"/>
        </w:rPr>
        <w:t xml:space="preserve">енности клиентов процессом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</w:t>
      </w:r>
      <w:r>
        <w:rPr>
          <w:sz w:val="28"/>
          <w:szCs w:val="28"/>
        </w:rPr>
        <w:t xml:space="preserve">аступление срока для пересмотра процесса.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роведение исследований</w:t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реинжиниринга</w:t>
      </w:r>
      <w:r>
        <w:rPr>
          <w:sz w:val="28"/>
          <w:szCs w:val="28"/>
        </w:rPr>
        <w:t xml:space="preserve"> процессов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трех</w:t>
      </w:r>
      <w:r>
        <w:rPr>
          <w:sz w:val="28"/>
          <w:szCs w:val="28"/>
        </w:rPr>
        <w:t xml:space="preserve"> рабочих дней после возникновения оснований для проведения реинжиниринга процесса ответственный за процесс формирует</w:t>
      </w:r>
      <w:r>
        <w:rPr>
          <w:sz w:val="28"/>
          <w:szCs w:val="28"/>
        </w:rPr>
        <w:t xml:space="preserve"> либо </w:t>
      </w:r>
      <w:r>
        <w:rPr>
          <w:sz w:val="28"/>
          <w:szCs w:val="28"/>
        </w:rPr>
        <w:t xml:space="preserve">в случае</w:t>
      </w:r>
      <w:r>
        <w:rPr>
          <w:sz w:val="28"/>
          <w:szCs w:val="28"/>
        </w:rPr>
        <w:t xml:space="preserve">, если он был сформирован ранее,</w:t>
      </w:r>
      <w:r>
        <w:rPr>
          <w:sz w:val="28"/>
          <w:szCs w:val="28"/>
        </w:rPr>
        <w:t xml:space="preserve"> актуализирует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сформированный </w:t>
      </w:r>
      <w:r>
        <w:rPr>
          <w:sz w:val="28"/>
          <w:szCs w:val="28"/>
        </w:rPr>
        <w:t xml:space="preserve">перечень точек взаимодействия с клиентом в рамках исследуемого процесса в соответствии с Методическ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ми рекомендациями по формированию перечня точек взаимодействия с клиентом и разработке порядка по взаимодействию с клиентом в точках взаимодействия, одобренными протоколом заседания межведомственной рабочей группы по внедрению </w:t>
      </w:r>
      <w:r>
        <w:rPr>
          <w:sz w:val="28"/>
          <w:szCs w:val="28"/>
        </w:rPr>
        <w:t xml:space="preserve">клиентоцентричности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государственное управление от</w:t>
      </w:r>
      <w:r>
        <w:rPr>
          <w:sz w:val="28"/>
          <w:szCs w:val="28"/>
        </w:rPr>
        <w:t xml:space="preserve"> 0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.07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2023 г.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66-АХ, </w:t>
      </w:r>
      <w:r>
        <w:rPr>
          <w:sz w:val="28"/>
          <w:szCs w:val="28"/>
        </w:rPr>
        <w:t xml:space="preserve">приказом департамента от 01.02.2024 № 397-НПА «О порядке ведения департаментом имущества и земельных отношений Новосибирской области перечня точек взаимодействия с внешними и внутренними клиентами», </w:t>
      </w:r>
      <w:r>
        <w:rPr>
          <w:sz w:val="28"/>
          <w:szCs w:val="28"/>
        </w:rPr>
        <w:t xml:space="preserve">а также формирует </w:t>
      </w:r>
      <w:r>
        <w:rPr>
          <w:sz w:val="28"/>
          <w:szCs w:val="28"/>
        </w:rPr>
        <w:t xml:space="preserve">в отношении исследуемого процесса </w:t>
      </w:r>
      <w:r>
        <w:rPr>
          <w:sz w:val="28"/>
          <w:szCs w:val="28"/>
        </w:rPr>
        <w:t xml:space="preserve">либо актуализирует ранее сформированный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профиль клиентского сегмента на основании имеющихся данных о клиентах процесса за два года, предшествующих дню начала исследования.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в течение </w:t>
      </w:r>
      <w:r>
        <w:rPr>
          <w:sz w:val="28"/>
          <w:szCs w:val="28"/>
        </w:rPr>
        <w:t xml:space="preserve">двух</w:t>
      </w:r>
      <w:r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, предшествующих проведению исследования, процесс не осуществлялся, то профиль клиентского сегмента формируется на основании </w:t>
      </w:r>
      <w:r>
        <w:rPr>
          <w:sz w:val="28"/>
          <w:szCs w:val="28"/>
        </w:rPr>
        <w:t xml:space="preserve">гипотез о потенциальном клиенте, в интересах которого осуществляется процесс.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</w:t>
      </w:r>
      <w:r>
        <w:rPr>
          <w:sz w:val="28"/>
          <w:szCs w:val="28"/>
        </w:rPr>
        <w:t xml:space="preserve">Ответственный за процесс в течение </w:t>
      </w:r>
      <w:r>
        <w:rPr>
          <w:sz w:val="28"/>
          <w:szCs w:val="28"/>
        </w:rPr>
        <w:t xml:space="preserve">пяти</w:t>
      </w:r>
      <w:r>
        <w:rPr>
          <w:sz w:val="28"/>
          <w:szCs w:val="28"/>
        </w:rPr>
        <w:t xml:space="preserve"> рабочих дней после возникновения оснований для </w:t>
      </w:r>
      <w:r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реинжиниринга процесса </w:t>
      </w:r>
      <w:r>
        <w:rPr>
          <w:sz w:val="28"/>
          <w:szCs w:val="28"/>
        </w:rPr>
        <w:t xml:space="preserve">формирует</w:t>
      </w:r>
      <w:r>
        <w:rPr>
          <w:sz w:val="28"/>
          <w:szCs w:val="28"/>
        </w:rPr>
        <w:t xml:space="preserve"> текстовое описание и блок-схему осуществления процесса на текущий момент, а также текстовое описание и блок-схему фактического осуществления процесса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указанием их различий.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к </w:t>
      </w:r>
      <w:r>
        <w:rPr>
          <w:sz w:val="28"/>
          <w:szCs w:val="28"/>
        </w:rPr>
        <w:t xml:space="preserve">формированию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текстового </w:t>
      </w:r>
      <w:r>
        <w:rPr>
          <w:sz w:val="28"/>
          <w:szCs w:val="28"/>
        </w:rPr>
        <w:t xml:space="preserve">описания и блок-схемы фактического осуществления процесса могут привлекаться клиенты и исполнители по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процессу.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Блок-схемы </w:t>
      </w:r>
      <w:r>
        <w:rPr>
          <w:sz w:val="28"/>
          <w:szCs w:val="28"/>
        </w:rPr>
        <w:t xml:space="preserve">формируются</w:t>
      </w:r>
      <w:r>
        <w:rPr>
          <w:sz w:val="28"/>
          <w:szCs w:val="28"/>
        </w:rPr>
        <w:t xml:space="preserve"> в нотации BPMN 2.0.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</w:t>
      </w:r>
      <w:r>
        <w:rPr>
          <w:sz w:val="28"/>
          <w:szCs w:val="28"/>
        </w:rPr>
        <w:t xml:space="preserve">В течение 10 рабочих дней после формирования профиля клиентского сегмента проводится опрос клиентов и исполнителей </w:t>
      </w:r>
      <w:r>
        <w:rPr>
          <w:sz w:val="28"/>
          <w:szCs w:val="28"/>
        </w:rPr>
        <w:t xml:space="preserve">об их опыте участия в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процессе.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Опрос должен быть направлен на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оценку удовлетворенности процессом;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выявление </w:t>
      </w:r>
      <w:r>
        <w:rPr>
          <w:sz w:val="28"/>
          <w:szCs w:val="28"/>
        </w:rPr>
        <w:t xml:space="preserve">сложностей, с которыми столкнулись клиенты и исполнители в рамках осуществления процесса, с указанием этапа, на котором эти сложности были встречены и их критичности;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ожиданий клиентов от взаимодействия на каждом этапе осуществления процесса;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</w:t>
      </w:r>
      <w:r>
        <w:rPr>
          <w:sz w:val="28"/>
        </w:rPr>
        <w:t xml:space="preserve"> </w:t>
      </w:r>
      <w:r>
        <w:rPr>
          <w:sz w:val="28"/>
        </w:rPr>
        <w:t xml:space="preserve">формирование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лучших п</w:t>
      </w:r>
      <w:r>
        <w:rPr>
          <w:sz w:val="28"/>
          <w:szCs w:val="28"/>
        </w:rPr>
        <w:t xml:space="preserve">рактик осуществления процессов.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</w:t>
      </w:r>
      <w:r>
        <w:rPr>
          <w:sz w:val="28"/>
          <w:szCs w:val="28"/>
        </w:rPr>
        <w:t xml:space="preserve">На основании информации, полученной в результате опроса, в течение </w:t>
      </w:r>
      <w:r>
        <w:rPr>
          <w:sz w:val="28"/>
          <w:szCs w:val="28"/>
        </w:rPr>
        <w:t xml:space="preserve">двух</w:t>
      </w:r>
      <w:r>
        <w:rPr>
          <w:sz w:val="28"/>
          <w:szCs w:val="28"/>
        </w:rPr>
        <w:t xml:space="preserve"> рабочих дней </w:t>
      </w:r>
      <w:r>
        <w:rPr>
          <w:sz w:val="28"/>
          <w:szCs w:val="28"/>
        </w:rPr>
        <w:t xml:space="preserve">формируется</w:t>
      </w:r>
      <w:r>
        <w:rPr>
          <w:sz w:val="28"/>
          <w:szCs w:val="28"/>
        </w:rPr>
        <w:t xml:space="preserve"> перечень сложностей, </w:t>
      </w:r>
      <w:r>
        <w:rPr>
          <w:sz w:val="28"/>
          <w:szCs w:val="28"/>
        </w:rPr>
        <w:t xml:space="preserve">выявленных</w:t>
      </w:r>
      <w:r>
        <w:rPr>
          <w:sz w:val="28"/>
          <w:szCs w:val="28"/>
        </w:rPr>
        <w:t xml:space="preserve"> клиентами на каждом этапе осуществления процесса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 указанием их критичности, потребностей клиентов на каждом этапе взаимодействия, а также </w:t>
      </w:r>
      <w:r>
        <w:rPr>
          <w:sz w:val="28"/>
          <w:szCs w:val="28"/>
        </w:rPr>
        <w:t xml:space="preserve">формируется</w:t>
      </w:r>
      <w:r>
        <w:rPr>
          <w:sz w:val="28"/>
          <w:szCs w:val="28"/>
        </w:rPr>
        <w:t xml:space="preserve"> перечень лучших практик в рамках осуществления процесса.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течение 12 рабочих дней после формирования профиля клиентского сегмента ответственный за процесс проводит анализ процесса на соответствие требованиям Стандартов «Государство для людей», «Государство для бизнеса», утвержденных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ротоколом заочного голосования членов проектного комитета федерального проекта «</w:t>
      </w:r>
      <w:r>
        <w:rPr>
          <w:sz w:val="28"/>
          <w:szCs w:val="28"/>
        </w:rPr>
        <w:t xml:space="preserve">Клиентоцентричность</w:t>
      </w:r>
      <w:r>
        <w:rPr>
          <w:sz w:val="28"/>
          <w:szCs w:val="28"/>
        </w:rPr>
        <w:t xml:space="preserve">»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.04.</w:t>
      </w:r>
      <w:r>
        <w:rPr>
          <w:sz w:val="28"/>
          <w:szCs w:val="28"/>
        </w:rPr>
        <w:t xml:space="preserve">2022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Стандарта для внутреннего клиента, одобренного протоколом заседания межведомственной рабочей группы по внедрению </w:t>
      </w:r>
      <w:r>
        <w:rPr>
          <w:sz w:val="28"/>
          <w:szCs w:val="28"/>
        </w:rPr>
        <w:t xml:space="preserve">клиентоцентричности</w:t>
      </w:r>
      <w:r>
        <w:rPr>
          <w:sz w:val="28"/>
          <w:szCs w:val="28"/>
        </w:rPr>
        <w:t xml:space="preserve"> в государственно</w:t>
      </w:r>
      <w:r>
        <w:rPr>
          <w:sz w:val="28"/>
          <w:szCs w:val="28"/>
        </w:rPr>
        <w:t xml:space="preserve">е управление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.12.</w:t>
      </w:r>
      <w:r>
        <w:rPr>
          <w:sz w:val="28"/>
          <w:szCs w:val="28"/>
        </w:rPr>
        <w:t xml:space="preserve">2023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142-АХ 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Стандарты </w:t>
      </w:r>
      <w:r>
        <w:rPr>
          <w:sz w:val="28"/>
          <w:szCs w:val="28"/>
        </w:rPr>
        <w:t xml:space="preserve">клиентоцентричности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формирует</w:t>
      </w:r>
      <w:r>
        <w:rPr>
          <w:sz w:val="28"/>
          <w:szCs w:val="28"/>
        </w:rPr>
        <w:t xml:space="preserve"> перечень требований Стандартов </w:t>
      </w:r>
      <w:r>
        <w:rPr>
          <w:sz w:val="28"/>
          <w:szCs w:val="28"/>
        </w:rPr>
        <w:t xml:space="preserve">клиентоцентричности</w:t>
      </w:r>
      <w:r>
        <w:rPr>
          <w:sz w:val="28"/>
          <w:szCs w:val="28"/>
        </w:rPr>
        <w:t xml:space="preserve">, которые не </w:t>
      </w:r>
      <w:r>
        <w:rPr>
          <w:sz w:val="28"/>
          <w:szCs w:val="28"/>
        </w:rPr>
        <w:t xml:space="preserve">соблюдаются</w:t>
      </w:r>
      <w:r>
        <w:rPr>
          <w:sz w:val="28"/>
          <w:szCs w:val="28"/>
        </w:rPr>
        <w:t xml:space="preserve"> в процессе.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процесс связан с предоставлением государственных услуг, </w:t>
      </w:r>
      <w:r>
        <w:rPr>
          <w:sz w:val="28"/>
          <w:szCs w:val="28"/>
        </w:rPr>
        <w:t xml:space="preserve">необходимо осуществить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проверку</w:t>
      </w:r>
      <w:r>
        <w:rPr>
          <w:sz w:val="28"/>
          <w:szCs w:val="28"/>
        </w:rPr>
        <w:t xml:space="preserve"> процесса по листу самопроверки для действующих государственных услуг согласно Методике проведения оценки уровня соответствия принципам и стандартам </w:t>
      </w:r>
      <w:r>
        <w:rPr>
          <w:sz w:val="28"/>
          <w:szCs w:val="28"/>
        </w:rPr>
        <w:t xml:space="preserve">клиентоцентричности</w:t>
      </w:r>
      <w:r>
        <w:rPr>
          <w:sz w:val="28"/>
          <w:szCs w:val="28"/>
        </w:rPr>
        <w:t xml:space="preserve">, утвержденной протоколом заседания межведомственной рабочей группы по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внедрению </w:t>
      </w:r>
      <w:r>
        <w:rPr>
          <w:sz w:val="28"/>
          <w:szCs w:val="28"/>
        </w:rPr>
        <w:t xml:space="preserve">клиентоцентричности</w:t>
      </w:r>
      <w:r>
        <w:rPr>
          <w:sz w:val="28"/>
          <w:szCs w:val="28"/>
        </w:rPr>
        <w:t xml:space="preserve"> в государственное управление от</w:t>
      </w:r>
      <w:r>
        <w:rPr>
          <w:sz w:val="28"/>
          <w:szCs w:val="28"/>
        </w:rPr>
        <w:t xml:space="preserve"> 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.12.</w:t>
      </w:r>
      <w:r>
        <w:rPr>
          <w:sz w:val="28"/>
          <w:szCs w:val="28"/>
        </w:rPr>
        <w:t xml:space="preserve">2023 года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141-АХ.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11. 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одного рабочего</w:t>
      </w:r>
      <w:r>
        <w:rPr>
          <w:sz w:val="28"/>
          <w:szCs w:val="28"/>
        </w:rPr>
        <w:t xml:space="preserve"> дня после завершения опрос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и анализа на соответствие требованиям Стандартов </w:t>
      </w:r>
      <w:r>
        <w:rPr>
          <w:sz w:val="28"/>
          <w:szCs w:val="28"/>
        </w:rPr>
        <w:t xml:space="preserve">клиентоцентричности</w:t>
      </w:r>
      <w:r>
        <w:rPr>
          <w:sz w:val="28"/>
          <w:szCs w:val="28"/>
        </w:rPr>
        <w:t xml:space="preserve"> ответственный за процесс направляет по системе электронного документооборота сформированные в ходе исследования документы на рассмотрение рабочей групп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по внедрению </w:t>
      </w:r>
      <w:r>
        <w:rPr>
          <w:sz w:val="28"/>
          <w:szCs w:val="28"/>
        </w:rPr>
        <w:t xml:space="preserve">клиентоцентричности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департаменте</w:t>
      </w:r>
      <w:r>
        <w:rPr>
          <w:sz w:val="28"/>
          <w:szCs w:val="28"/>
        </w:rPr>
        <w:t xml:space="preserve">, сформированной в соответствии с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риказом </w:t>
      </w:r>
      <w:r>
        <w:rPr>
          <w:sz w:val="28"/>
          <w:szCs w:val="28"/>
        </w:rPr>
        <w:t xml:space="preserve">департамента от 18.10.2023 № 3295-НПА</w:t>
      </w:r>
      <w:r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рабочая группа). К комплекту документов ответственный за процесс прилагает пояснительную записку с предлагаемым решением и его обоснованием.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Рабочая группа в течение 7 рабочих дней рассматривает представленные </w:t>
      </w: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пунктом 11</w:t>
      </w:r>
      <w:r>
        <w:rPr>
          <w:sz w:val="28"/>
          <w:szCs w:val="28"/>
        </w:rPr>
        <w:t xml:space="preserve"> настоящего Порядка </w:t>
      </w:r>
      <w:r>
        <w:rPr>
          <w:sz w:val="28"/>
          <w:szCs w:val="28"/>
        </w:rPr>
        <w:t xml:space="preserve">документы и на заседании принимает одно из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решений: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необходимость</w:t>
      </w:r>
      <w:r>
        <w:rPr>
          <w:sz w:val="28"/>
          <w:szCs w:val="28"/>
        </w:rPr>
        <w:t xml:space="preserve"> изменения процесса;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отсутствие необходимости изменения процесса;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нео</w:t>
      </w:r>
      <w:r>
        <w:rPr>
          <w:sz w:val="28"/>
          <w:szCs w:val="28"/>
        </w:rPr>
        <w:t xml:space="preserve">бходимость</w:t>
      </w:r>
      <w:r>
        <w:rPr>
          <w:sz w:val="28"/>
          <w:szCs w:val="28"/>
        </w:rPr>
        <w:t xml:space="preserve"> исключения процесса.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рабочей</w:t>
      </w:r>
      <w:r>
        <w:rPr>
          <w:sz w:val="28"/>
          <w:szCs w:val="28"/>
        </w:rPr>
        <w:t xml:space="preserve"> группой было принято решение об отсутствии необходимости </w:t>
      </w:r>
      <w:r>
        <w:rPr>
          <w:sz w:val="28"/>
          <w:szCs w:val="28"/>
        </w:rPr>
        <w:t xml:space="preserve">изменен</w:t>
      </w:r>
      <w:r>
        <w:rPr>
          <w:sz w:val="28"/>
          <w:szCs w:val="28"/>
        </w:rPr>
        <w:t xml:space="preserve">ия процесса</w:t>
      </w:r>
      <w:r>
        <w:rPr>
          <w:sz w:val="28"/>
          <w:szCs w:val="28"/>
        </w:rPr>
        <w:t xml:space="preserve"> или о необходимости исключения процесса,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реинжиниринг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рассматриваемого процесса завершается. В случае решения о необходимости исключения процесса инициируется процедура исключения процесса.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Этап п</w:t>
      </w:r>
      <w:r>
        <w:rPr>
          <w:sz w:val="28"/>
          <w:szCs w:val="28"/>
        </w:rPr>
        <w:t xml:space="preserve">роектировани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целях реинжиниринга</w:t>
      </w:r>
      <w:r>
        <w:rPr>
          <w:sz w:val="28"/>
          <w:szCs w:val="28"/>
        </w:rPr>
        <w:t xml:space="preserve"> процессов</w:t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В случае, если рабочей группой было принято решение о необходимости изменения процесса, в течение 7 рабочих дней после принятия такого решения ответственный за процесс разрабатывает: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текстовое описание целевого порядка осуществления процесса </w:t>
      </w:r>
      <w:r>
        <w:rPr>
          <w:sz w:val="28"/>
          <w:szCs w:val="28"/>
        </w:rPr>
        <w:t xml:space="preserve">(целевую модель процесса) </w:t>
      </w:r>
      <w:r>
        <w:rPr>
          <w:sz w:val="28"/>
          <w:szCs w:val="28"/>
        </w:rPr>
        <w:t xml:space="preserve">с учетом целесообразности, </w:t>
      </w:r>
      <w:r>
        <w:rPr>
          <w:sz w:val="28"/>
          <w:szCs w:val="28"/>
        </w:rPr>
        <w:t xml:space="preserve">наличия</w:t>
      </w:r>
      <w:r>
        <w:rPr>
          <w:sz w:val="28"/>
          <w:szCs w:val="28"/>
        </w:rPr>
        <w:t xml:space="preserve"> возможностей, стремления к решению наибольшего количества выявленных проблем и повышения эффективности процесса, в том числе с использованием</w:t>
      </w:r>
      <w:r>
        <w:rPr>
          <w:sz w:val="28"/>
          <w:szCs w:val="28"/>
        </w:rPr>
        <w:t xml:space="preserve"> наиболее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эффективных</w:t>
      </w:r>
      <w:r>
        <w:rPr>
          <w:sz w:val="28"/>
          <w:szCs w:val="28"/>
        </w:rPr>
        <w:t xml:space="preserve"> решений, реализованных в других процессах;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блок-схему целевого порядка осуществления процесса в нотации BPMN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2.0.;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описани</w:t>
      </w:r>
      <w:r>
        <w:rPr>
          <w:sz w:val="28"/>
          <w:szCs w:val="28"/>
        </w:rPr>
        <w:t xml:space="preserve">е нормативных правовых барьеров, препятствующих </w:t>
      </w:r>
      <w:r>
        <w:rPr>
          <w:sz w:val="28"/>
          <w:szCs w:val="28"/>
        </w:rPr>
        <w:t xml:space="preserve">реализации целевого порядка осуществления процесса, представляющие собой перечень положений нормативных правовых актов, которые прямо противоречат целевому порядку осуществления процесса, а также перечень нормативных правовых актов, отсутствие в которых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положений не позволяет реализовать целевой порядок осуществления процесса.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орядок взаимодействия с клиентом </w:t>
      </w:r>
      <w:r>
        <w:rPr>
          <w:sz w:val="28"/>
          <w:szCs w:val="28"/>
        </w:rPr>
        <w:t xml:space="preserve">в точках взаимодействия.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одного</w:t>
      </w:r>
      <w:r>
        <w:rPr>
          <w:sz w:val="28"/>
          <w:szCs w:val="28"/>
        </w:rPr>
        <w:t xml:space="preserve"> рабочего дня после формирования </w:t>
      </w:r>
      <w:r>
        <w:rPr>
          <w:sz w:val="28"/>
          <w:szCs w:val="28"/>
        </w:rPr>
        <w:t xml:space="preserve">указанных документов</w:t>
      </w:r>
      <w:r>
        <w:rPr>
          <w:sz w:val="28"/>
          <w:szCs w:val="28"/>
        </w:rPr>
        <w:t xml:space="preserve"> ответственный </w:t>
      </w:r>
      <w:r>
        <w:rPr>
          <w:sz w:val="28"/>
          <w:szCs w:val="28"/>
        </w:rPr>
        <w:t xml:space="preserve">за процесс</w:t>
      </w:r>
      <w:r>
        <w:rPr>
          <w:sz w:val="28"/>
          <w:szCs w:val="28"/>
        </w:rPr>
        <w:t xml:space="preserve"> направляет 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по системе электронного документооборота на рассмотрение рабочей групп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Рабочая группа в течение 7 рабочих дней рассматривает документы</w:t>
      </w:r>
      <w:r>
        <w:rPr>
          <w:sz w:val="28"/>
          <w:szCs w:val="28"/>
        </w:rPr>
        <w:t xml:space="preserve">, указанные в пункте 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настоящего Порядка,</w:t>
      </w:r>
      <w:r>
        <w:rPr>
          <w:sz w:val="28"/>
          <w:szCs w:val="28"/>
        </w:rPr>
        <w:t xml:space="preserve"> и принимает одно из решений: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согласование</w:t>
      </w:r>
      <w:r>
        <w:rPr>
          <w:sz w:val="28"/>
          <w:szCs w:val="28"/>
        </w:rPr>
        <w:t xml:space="preserve"> целево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поряд</w:t>
      </w:r>
      <w:r>
        <w:rPr>
          <w:sz w:val="28"/>
          <w:szCs w:val="28"/>
        </w:rPr>
        <w:t xml:space="preserve">ка</w:t>
      </w:r>
      <w:r>
        <w:rPr>
          <w:sz w:val="28"/>
          <w:szCs w:val="28"/>
        </w:rPr>
        <w:t xml:space="preserve"> осуществления процесса;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направ</w:t>
      </w:r>
      <w:r>
        <w:rPr>
          <w:sz w:val="28"/>
          <w:szCs w:val="28"/>
        </w:rPr>
        <w:t xml:space="preserve">ление</w:t>
      </w:r>
      <w:r>
        <w:rPr>
          <w:sz w:val="28"/>
          <w:szCs w:val="28"/>
        </w:rPr>
        <w:t xml:space="preserve"> целево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поряд</w:t>
      </w:r>
      <w:r>
        <w:rPr>
          <w:sz w:val="28"/>
          <w:szCs w:val="28"/>
        </w:rPr>
        <w:t xml:space="preserve">ка</w:t>
      </w:r>
      <w:r>
        <w:rPr>
          <w:sz w:val="28"/>
          <w:szCs w:val="28"/>
        </w:rPr>
        <w:t xml:space="preserve"> осуществления процесса на доработку.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заседании рабочей группы, на котором рассматривается целевой порядок осуществления процесса, по решению председателя рабочей группы могут быть привлечены представители общественности, эксперты и сотрудники </w:t>
      </w:r>
      <w:r>
        <w:rPr>
          <w:sz w:val="28"/>
          <w:szCs w:val="28"/>
        </w:rPr>
        <w:t xml:space="preserve">департамента</w:t>
      </w:r>
      <w:r>
        <w:rPr>
          <w:sz w:val="28"/>
          <w:szCs w:val="28"/>
        </w:rPr>
        <w:t xml:space="preserve">, участвующие в осуществлении процесса.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В случае, если рабочая группа приняла решение о направлении целевого порядка осуществления процесса на доработку, ответственный за процесс </w:t>
      </w:r>
      <w:r>
        <w:rPr>
          <w:sz w:val="28"/>
          <w:szCs w:val="28"/>
        </w:rPr>
        <w:t xml:space="preserve">обеспечивает</w:t>
      </w:r>
      <w:r>
        <w:rPr>
          <w:sz w:val="28"/>
          <w:szCs w:val="28"/>
        </w:rPr>
        <w:t xml:space="preserve"> доработку целевого порядка осуществления процесса и описания нормативных правовых барьеров в обозначенный в решении рабочей группы срок и </w:t>
      </w:r>
      <w:r>
        <w:rPr>
          <w:sz w:val="28"/>
          <w:szCs w:val="28"/>
        </w:rPr>
        <w:t xml:space="preserve">повторно </w:t>
      </w:r>
      <w:r>
        <w:rPr>
          <w:sz w:val="28"/>
          <w:szCs w:val="28"/>
        </w:rPr>
        <w:t xml:space="preserve">направляет их на согласование рабочей групп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В случае, если рабочая группа согласовала целевой порядок осуществления процесса, ответственный за процесс в течение 7 рабочих дней после согласования формирует план мероприятий по реализации целевого порядка осуществления процесса (далее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план мероприятий) согласно Приложени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 xml:space="preserve">, с указанием названия мероприятия, </w:t>
      </w:r>
      <w:r>
        <w:rPr>
          <w:sz w:val="28"/>
          <w:szCs w:val="28"/>
        </w:rPr>
        <w:t xml:space="preserve">сроков их выполнения, ответственных и описания результатов и отчетных документов.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план</w:t>
      </w:r>
      <w:r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могут входить мероприятия по внесению изменений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нормативны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акт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, мероприятия, связанные с изменением инфраструктуры или программного обеспечения (информационных систем), а также организационные мероприятия.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В случае, если целевой порядок осуществления процесса предполагает использование ранее созданных, измененных по итогам реинжиниринга или сформированных в результате</w:t>
      </w:r>
      <w:r>
        <w:rPr>
          <w:sz w:val="28"/>
          <w:szCs w:val="28"/>
        </w:rPr>
        <w:t xml:space="preserve"> реинжиниринга</w:t>
      </w:r>
      <w:r>
        <w:rPr>
          <w:sz w:val="28"/>
          <w:szCs w:val="28"/>
        </w:rPr>
        <w:t xml:space="preserve"> цифровых сервисов, то план мероприятий должен </w:t>
      </w:r>
      <w:r>
        <w:rPr>
          <w:sz w:val="28"/>
          <w:szCs w:val="28"/>
        </w:rPr>
        <w:t xml:space="preserve">содержать следующие мероприятия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разработк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верхнеуровневого</w:t>
      </w:r>
      <w:r>
        <w:rPr>
          <w:sz w:val="28"/>
          <w:szCs w:val="28"/>
        </w:rPr>
        <w:t xml:space="preserve"> прототипа сервиса </w:t>
      </w:r>
      <w:r>
        <w:rPr>
          <w:sz w:val="28"/>
          <w:szCs w:val="28"/>
        </w:rPr>
        <w:t xml:space="preserve">в виде </w:t>
      </w:r>
      <w:r>
        <w:rPr>
          <w:sz w:val="28"/>
          <w:szCs w:val="28"/>
        </w:rPr>
        <w:t xml:space="preserve">схематично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изображени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экранов цифрового сервиса с указа</w:t>
      </w:r>
      <w:r>
        <w:rPr>
          <w:sz w:val="28"/>
          <w:szCs w:val="28"/>
        </w:rPr>
        <w:t xml:space="preserve">нием логики перехода между ними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тестирование </w:t>
      </w:r>
      <w:r>
        <w:rPr>
          <w:sz w:val="28"/>
          <w:szCs w:val="28"/>
        </w:rPr>
        <w:t xml:space="preserve">верхнеуровневого</w:t>
      </w:r>
      <w:r>
        <w:rPr>
          <w:sz w:val="28"/>
          <w:szCs w:val="28"/>
        </w:rPr>
        <w:t xml:space="preserve"> прототипа сервиса на представителях клиентского сегмента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доработка </w:t>
      </w:r>
      <w:r>
        <w:rPr>
          <w:sz w:val="28"/>
          <w:szCs w:val="28"/>
        </w:rPr>
        <w:t xml:space="preserve">верхнеуровневого</w:t>
      </w:r>
      <w:r>
        <w:rPr>
          <w:sz w:val="28"/>
          <w:szCs w:val="28"/>
        </w:rPr>
        <w:t xml:space="preserve"> прототипа на основании полученной обратной связи</w:t>
      </w:r>
      <w:r>
        <w:rPr>
          <w:sz w:val="28"/>
          <w:szCs w:val="28"/>
        </w:rPr>
        <w:t xml:space="preserve"> по результатам тестирования </w:t>
      </w:r>
      <w:r>
        <w:rPr>
          <w:sz w:val="28"/>
          <w:szCs w:val="28"/>
        </w:rPr>
        <w:t xml:space="preserve">верхнеуровнего</w:t>
      </w:r>
      <w:r>
        <w:rPr>
          <w:sz w:val="28"/>
          <w:szCs w:val="28"/>
        </w:rPr>
        <w:t xml:space="preserve"> прототипа сервиса (при необходимости)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разработк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детализированного прототипа сервиса </w:t>
      </w:r>
      <w:r>
        <w:rPr>
          <w:sz w:val="28"/>
          <w:szCs w:val="28"/>
        </w:rPr>
        <w:t xml:space="preserve">в формате интерактивных экранов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подключения к базам данных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</w:t>
      </w:r>
      <w:r>
        <w:rPr>
          <w:sz w:val="28"/>
          <w:szCs w:val="28"/>
        </w:rPr>
        <w:t xml:space="preserve">тестирование детализированного прототипа сервиса на представителях клиентского сегмента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</w:t>
      </w:r>
      <w:r>
        <w:rPr>
          <w:sz w:val="28"/>
          <w:szCs w:val="28"/>
        </w:rPr>
        <w:t xml:space="preserve">доработка детализированного прототипа на основании полученной </w:t>
      </w:r>
      <w:r>
        <w:rPr>
          <w:sz w:val="28"/>
          <w:szCs w:val="28"/>
        </w:rPr>
        <w:t xml:space="preserve">обратной связи по результатам тестирования детализированного прототипа сервиса (при необходимости)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процесс направляет разработанный план мероприятий по системе электронного документооборота на рассмотр</w:t>
      </w:r>
      <w:r>
        <w:rPr>
          <w:sz w:val="28"/>
          <w:szCs w:val="28"/>
        </w:rPr>
        <w:t xml:space="preserve">ение рабочей групп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Рабочая группа </w:t>
      </w:r>
      <w:r>
        <w:rPr>
          <w:sz w:val="28"/>
          <w:szCs w:val="28"/>
        </w:rPr>
        <w:t xml:space="preserve">в течение 7 рабочих дней</w:t>
      </w:r>
      <w:r>
        <w:rPr>
          <w:sz w:val="28"/>
          <w:szCs w:val="28"/>
        </w:rPr>
        <w:t xml:space="preserve"> рассматривает представленный </w:t>
      </w:r>
      <w:r>
        <w:rPr>
          <w:sz w:val="28"/>
          <w:szCs w:val="28"/>
        </w:rPr>
        <w:t xml:space="preserve">разработанный </w:t>
      </w:r>
      <w:r>
        <w:rPr>
          <w:sz w:val="28"/>
          <w:szCs w:val="28"/>
        </w:rPr>
        <w:t xml:space="preserve">план мероприятий и принимает одно из следующих решений: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утверждение</w:t>
      </w:r>
      <w:r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мероприятий;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направление</w:t>
      </w:r>
      <w:r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мероприятий на доработку.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рабочая группа приняла решение о направлении плана мероприятий на доработку, ответственный за процесс </w:t>
      </w:r>
      <w:r>
        <w:rPr>
          <w:sz w:val="28"/>
          <w:szCs w:val="28"/>
        </w:rPr>
        <w:t xml:space="preserve">осуществляет</w:t>
      </w:r>
      <w:r>
        <w:rPr>
          <w:sz w:val="28"/>
          <w:szCs w:val="28"/>
        </w:rPr>
        <w:t xml:space="preserve"> доработку плана мероприятий в обозначенный в решении рабочей группы срок и вновь направляет их на согласование рабочей групп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</w:t>
      </w:r>
      <w:r>
        <w:rPr>
          <w:sz w:val="28"/>
          <w:szCs w:val="28"/>
        </w:rPr>
        <w:t xml:space="preserve">сли рабочая группа приняла решение утвердить план мероприятий, он считается утвержденным протоколом заседания рабочей группы, который направляется всем исполнителям мероприятий, указанных в плане мероприятий, вместе с приложением в виде плана мероприятий.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IV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Этап реализации</w:t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Ответственный за процесс контролирует выполнение</w:t>
      </w:r>
      <w:r>
        <w:rPr>
          <w:sz w:val="28"/>
          <w:szCs w:val="28"/>
        </w:rPr>
        <w:t xml:space="preserve"> плана</w:t>
      </w:r>
      <w:r>
        <w:rPr>
          <w:sz w:val="28"/>
          <w:szCs w:val="28"/>
        </w:rPr>
        <w:t xml:space="preserve"> мероприятий и в случае </w:t>
      </w:r>
      <w:r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неисполнения</w:t>
      </w:r>
      <w:r>
        <w:rPr>
          <w:sz w:val="28"/>
          <w:szCs w:val="28"/>
        </w:rPr>
        <w:t xml:space="preserve"> или риска </w:t>
      </w:r>
      <w:r>
        <w:rPr>
          <w:sz w:val="28"/>
          <w:szCs w:val="28"/>
        </w:rPr>
        <w:t xml:space="preserve">неисполнения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выносит соответствующи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вопрос на рассмотрение рабочей групп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необходимости внесения изменений в сроки или состав плана мероприятий ответственный за процесс также выносит этот вопрос на рассмотрение рабочей групп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реализации</w:t>
      </w:r>
      <w:r>
        <w:rPr>
          <w:sz w:val="28"/>
          <w:szCs w:val="28"/>
        </w:rPr>
        <w:t xml:space="preserve"> плана</w:t>
      </w:r>
      <w:r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ответственный за процесс готовит отчет и направляет его на рассмотрение рабочей групп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в течение 7 рабочих дней рассматривает поступивший отчет. После рассмотрения отчета на заседании рабочей группы реинжиниринг процесса считается </w:t>
      </w:r>
      <w:r>
        <w:rPr>
          <w:sz w:val="28"/>
          <w:szCs w:val="28"/>
        </w:rPr>
        <w:t xml:space="preserve">завершенным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center"/>
        <w:rPr>
          <w:szCs w:val="28"/>
        </w:rPr>
        <w:sectPr>
          <w:headerReference w:type="default" r:id="rId9"/>
          <w:footnotePr>
            <w:numFmt w:val="chicago"/>
          </w:footnotePr>
          <w:endnotePr/>
          <w:type w:val="nextPage"/>
          <w:pgSz w:w="11906" w:h="16838" w:orient="portrait"/>
          <w:pgMar w:top="1134" w:right="567" w:bottom="1134" w:left="1701" w:header="709" w:footer="380" w:gutter="0"/>
          <w:pgNumType w:start="1"/>
          <w:cols w:num="1" w:sep="0" w:space="708" w:equalWidth="1"/>
          <w:docGrid w:linePitch="360"/>
          <w:titlePg/>
        </w:sectPr>
      </w:pPr>
      <w:r>
        <w:rPr>
          <w:szCs w:val="28"/>
        </w:rPr>
        <w:t xml:space="preserve">____________</w:t>
      </w:r>
      <w:r>
        <w:rPr>
          <w:szCs w:val="28"/>
        </w:rPr>
      </w:r>
    </w:p>
    <w:tbl>
      <w:tblPr>
        <w:tblW w:w="14743" w:type="dxa"/>
        <w:tblLook w:val="04A0" w:firstRow="1" w:lastRow="0" w:firstColumn="1" w:lastColumn="0" w:noHBand="0" w:noVBand="1"/>
      </w:tblPr>
      <w:tblGrid>
        <w:gridCol w:w="8931"/>
        <w:gridCol w:w="5812"/>
      </w:tblGrid>
      <w:tr>
        <w:tblPrEx/>
        <w:trPr>
          <w:trHeight w:val="2314"/>
        </w:trPr>
        <w:tc>
          <w:tcPr>
            <w:tcW w:w="893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/>
            <w:bookmarkStart w:id="0" w:name="_GoBack"/>
            <w:r/>
            <w:bookmarkEnd w:id="0"/>
            <w:r/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ПРИЛОЖЕНИЕ 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№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 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1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к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Пор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ядку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проведения реинжиниринга процессов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в департаменте имущества и земельных отношений Новосибирской области</w:t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</w:r>
          </w:p>
        </w:tc>
      </w:tr>
    </w:tbl>
    <w:p>
      <w:pPr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</w:t>
      </w:r>
      <w:r>
        <w:rPr>
          <w:b/>
          <w:sz w:val="28"/>
          <w:szCs w:val="28"/>
        </w:rPr>
      </w:r>
    </w:p>
    <w:p>
      <w:pPr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мероприятий по реализации целевого порядка осуществления процесса в департаменте имущества и земельных отношений Новосибирской области</w:t>
      </w:r>
      <w:r>
        <w:rPr>
          <w:b/>
          <w:sz w:val="28"/>
          <w:szCs w:val="28"/>
        </w:rPr>
      </w:r>
    </w:p>
    <w:p>
      <w:pPr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691"/>
        <w:tblW w:w="13542" w:type="dxa"/>
        <w:tblLayout w:type="fixed"/>
        <w:tblLook w:val="04A0" w:firstRow="1" w:lastRow="0" w:firstColumn="1" w:lastColumn="0" w:noHBand="0" w:noVBand="1"/>
      </w:tblPr>
      <w:tblGrid>
        <w:gridCol w:w="846"/>
        <w:gridCol w:w="5495"/>
        <w:gridCol w:w="1592"/>
        <w:gridCol w:w="2235"/>
        <w:gridCol w:w="3366"/>
        <w:gridCol w:w="8"/>
      </w:tblGrid>
      <w:tr>
        <w:tblPrEx/>
        <w:trPr/>
        <w:tc>
          <w:tcPr>
            <w:shd w:val="clear" w:color="auto" w:fill="auto"/>
            <w:tcW w:w="84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Мероприятие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окончания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23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37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Образ результата и отчетный документ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704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1.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704"/>
              <w:spacing w:before="0" w:beforeAutospacing="0" w:after="0" w:afterAutospacing="0"/>
              <w:rPr>
                <w:b/>
              </w:rPr>
            </w:pPr>
            <w:r>
              <w:rPr>
                <w:b/>
                <w:color w:val="000000"/>
              </w:rPr>
              <w:t xml:space="preserve">Организационные мероприятия 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9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5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74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846" w:type="dxa"/>
            <w:textDirection w:val="lrTb"/>
            <w:noWrap w:val="false"/>
          </w:tcPr>
          <w:p>
            <w:pPr>
              <w:pStyle w:val="70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1.1.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pStyle w:val="704"/>
              <w:jc w:val="both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9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235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3374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846" w:type="dxa"/>
            <w:textDirection w:val="lrTb"/>
            <w:noWrap w:val="false"/>
          </w:tcPr>
          <w:p>
            <w:pPr>
              <w:pStyle w:val="704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1.2.</w:t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auto" w:fill="auto"/>
            <w:tcW w:w="5495" w:type="dxa"/>
            <w:textDirection w:val="lrTb"/>
            <w:noWrap w:val="false"/>
          </w:tcPr>
          <w:p>
            <w:pPr>
              <w:pStyle w:val="704"/>
              <w:jc w:val="both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92" w:type="dxa"/>
            <w:textDirection w:val="lrTb"/>
            <w:noWrap w:val="false"/>
          </w:tcPr>
          <w:p>
            <w:pPr>
              <w:pStyle w:val="70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pStyle w:val="70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3374" w:type="dxa"/>
            <w:textDirection w:val="lrTb"/>
            <w:noWrap w:val="false"/>
          </w:tcPr>
          <w:p>
            <w:pPr>
              <w:pStyle w:val="704"/>
              <w:spacing w:before="0" w:beforeAutospacing="0" w:after="0" w:afterAutospacing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</w:r>
            <w:r>
              <w:rPr>
                <w:rFonts w:eastAsiaTheme="minorHAnsi"/>
                <w:color w:val="00000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2.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49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Внесение изменений в правовые акты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70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5" w:type="dxa"/>
            <w:textDirection w:val="lrTb"/>
            <w:noWrap w:val="false"/>
          </w:tcPr>
          <w:p>
            <w:pPr>
              <w:pStyle w:val="70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74" w:type="dxa"/>
            <w:textDirection w:val="lrTb"/>
            <w:noWrap w:val="false"/>
          </w:tcPr>
          <w:p>
            <w:pPr>
              <w:pStyle w:val="704"/>
              <w:spacing w:before="0" w:beforeAutospacing="0" w:after="0" w:afterAutospacing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</w:r>
            <w:r>
              <w:rPr>
                <w:rFonts w:eastAsiaTheme="minorHAnsi"/>
                <w:color w:val="000000"/>
                <w:lang w:eastAsia="en-US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846" w:type="dxa"/>
            <w:textDirection w:val="lrTb"/>
            <w:noWrap w:val="false"/>
          </w:tcPr>
          <w:p>
            <w:r>
              <w:t xml:space="preserve">2.1.</w:t>
            </w:r>
            <w:r/>
          </w:p>
        </w:tc>
        <w:tc>
          <w:tcPr>
            <w:shd w:val="clear" w:color="auto" w:fill="ffffff" w:themeFill="background1"/>
            <w:tcW w:w="5495" w:type="dxa"/>
            <w:textDirection w:val="lrTb"/>
            <w:noWrap w:val="false"/>
          </w:tcPr>
          <w:p>
            <w:pPr>
              <w:pStyle w:val="704"/>
              <w:jc w:val="both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 w:themeFill="background1"/>
            <w:tcW w:w="159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223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336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3.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49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Доработка информационных систем и развитие инфраструктуры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9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846" w:type="dxa"/>
            <w:textDirection w:val="lrTb"/>
            <w:noWrap w:val="false"/>
          </w:tcPr>
          <w:p>
            <w:r>
              <w:t xml:space="preserve">3.1.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9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23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36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4.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49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Иные мероприятия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9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6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gridAfter w:val="1"/>
        </w:trPr>
        <w:tc>
          <w:tcPr>
            <w:tcW w:w="846" w:type="dxa"/>
            <w:textDirection w:val="lrTb"/>
            <w:noWrap w:val="false"/>
          </w:tcPr>
          <w:p>
            <w:r>
              <w:t xml:space="preserve">4.1.</w:t>
            </w:r>
            <w:r/>
          </w:p>
        </w:tc>
        <w:tc>
          <w:tcPr>
            <w:tcBorders>
              <w:top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auto" w:sz="4" w:space="0"/>
            </w:tcBorders>
            <w:tcW w:w="159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</w:tcBorders>
            <w:tcW w:w="223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</w:tcBorders>
            <w:tcW w:w="3366" w:type="dxa"/>
            <w:textDirection w:val="lrTb"/>
            <w:noWrap w:val="false"/>
          </w:tcPr>
          <w:p>
            <w:r/>
            <w:r/>
          </w:p>
        </w:tc>
      </w:tr>
    </w:tbl>
    <w:p>
      <w:r/>
      <w:r/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</w:r>
    </w:p>
    <w:sectPr>
      <w:footnotePr>
        <w:numFmt w:val="chicago"/>
      </w:footnotePr>
      <w:endnotePr/>
      <w:type w:val="nextPage"/>
      <w:pgSz w:w="16838" w:h="11906" w:orient="landscape"/>
      <w:pgMar w:top="1701" w:right="1134" w:bottom="567" w:left="1134" w:header="709" w:footer="3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89312023"/>
      <w:docPartObj>
        <w:docPartGallery w:val="Page Numbers (Top of Page)"/>
        <w:docPartUnique w:val="true"/>
      </w:docPartObj>
      <w:rPr/>
    </w:sdtPr>
    <w:sdtContent>
      <w:p>
        <w:pPr>
          <w:pStyle w:val="692"/>
          <w:jc w:val="center"/>
          <w:rPr>
            <w:sz w:val="20"/>
            <w:szCs w:val="20"/>
          </w:rPr>
        </w:pPr>
        <w:r>
          <w:fldChar w:fldCharType="begin"/>
        </w:r>
        <w: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6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920" w:hanging="360"/>
      </w:pPr>
      <w:rPr>
        <w:rFonts w:hint="default" w:eastAsia="Arial Unicode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  <w:strike w:val="0"/>
        <w:color w:val="000000" w:themeColor="text1"/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  <w:strike w:val="0"/>
        <w:color w:val="000000" w:themeColor="text1"/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5"/>
    <w:next w:val="68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5"/>
    <w:next w:val="68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5"/>
    <w:next w:val="68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5"/>
    <w:next w:val="68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5"/>
    <w:next w:val="68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5"/>
    <w:next w:val="68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5"/>
    <w:next w:val="68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5"/>
    <w:next w:val="68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5"/>
    <w:next w:val="68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5"/>
    <w:next w:val="68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6"/>
    <w:link w:val="34"/>
    <w:uiPriority w:val="10"/>
    <w:rPr>
      <w:sz w:val="48"/>
      <w:szCs w:val="48"/>
    </w:rPr>
  </w:style>
  <w:style w:type="paragraph" w:styleId="36">
    <w:name w:val="Subtitle"/>
    <w:basedOn w:val="685"/>
    <w:next w:val="68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6"/>
    <w:link w:val="36"/>
    <w:uiPriority w:val="11"/>
    <w:rPr>
      <w:sz w:val="24"/>
      <w:szCs w:val="24"/>
    </w:rPr>
  </w:style>
  <w:style w:type="paragraph" w:styleId="38">
    <w:name w:val="Quote"/>
    <w:basedOn w:val="685"/>
    <w:next w:val="68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5"/>
    <w:next w:val="68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6"/>
    <w:link w:val="692"/>
    <w:uiPriority w:val="99"/>
  </w:style>
  <w:style w:type="character" w:styleId="45">
    <w:name w:val="Footer Char"/>
    <w:basedOn w:val="686"/>
    <w:link w:val="694"/>
    <w:uiPriority w:val="99"/>
  </w:style>
  <w:style w:type="paragraph" w:styleId="46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4"/>
    <w:uiPriority w:val="99"/>
  </w:style>
  <w:style w:type="table" w:styleId="49">
    <w:name w:val="Table Grid Light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01"/>
    <w:uiPriority w:val="99"/>
    <w:rPr>
      <w:sz w:val="18"/>
    </w:rPr>
  </w:style>
  <w:style w:type="paragraph" w:styleId="178">
    <w:name w:val="endnote text"/>
    <w:basedOn w:val="68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6"/>
    <w:uiPriority w:val="99"/>
    <w:semiHidden/>
    <w:unhideWhenUsed/>
    <w:rPr>
      <w:vertAlign w:val="superscript"/>
    </w:rPr>
  </w:style>
  <w:style w:type="paragraph" w:styleId="181">
    <w:name w:val="toc 1"/>
    <w:basedOn w:val="685"/>
    <w:next w:val="68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5"/>
    <w:next w:val="68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5"/>
    <w:next w:val="68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5"/>
    <w:next w:val="68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5"/>
    <w:next w:val="68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5"/>
    <w:next w:val="68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5"/>
    <w:next w:val="68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5"/>
    <w:next w:val="68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5"/>
    <w:next w:val="68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5"/>
    <w:next w:val="685"/>
    <w:uiPriority w:val="99"/>
    <w:unhideWhenUsed/>
    <w:pPr>
      <w:spacing w:after="0" w:afterAutospacing="0"/>
    </w:pPr>
  </w:style>
  <w:style w:type="paragraph" w:styleId="68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paragraph" w:styleId="689">
    <w:name w:val="Balloon Text"/>
    <w:basedOn w:val="685"/>
    <w:link w:val="690"/>
    <w:uiPriority w:val="99"/>
    <w:semiHidden/>
    <w:unhideWhenUsed/>
    <w:rPr>
      <w:rFonts w:ascii="Tahoma" w:hAnsi="Tahoma" w:cs="Tahoma"/>
      <w:sz w:val="16"/>
      <w:szCs w:val="16"/>
    </w:rPr>
  </w:style>
  <w:style w:type="character" w:styleId="690" w:customStyle="1">
    <w:name w:val="Текст выноски Знак"/>
    <w:basedOn w:val="686"/>
    <w:link w:val="68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91">
    <w:name w:val="Table Grid"/>
    <w:basedOn w:val="68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Header"/>
    <w:basedOn w:val="685"/>
    <w:link w:val="6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3" w:customStyle="1">
    <w:name w:val="Верхний колонтитул Знак"/>
    <w:basedOn w:val="686"/>
    <w:link w:val="6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4">
    <w:name w:val="Footer"/>
    <w:basedOn w:val="685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Нижний колонтитул Знак"/>
    <w:basedOn w:val="686"/>
    <w:link w:val="6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>
    <w:name w:val="annotation text"/>
    <w:basedOn w:val="685"/>
    <w:link w:val="697"/>
    <w:uiPriority w:val="99"/>
    <w:semiHidden/>
    <w:unhideWhenUsed/>
    <w:pPr>
      <w:spacing w:after="16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697" w:customStyle="1">
    <w:name w:val="Текст примечания Знак"/>
    <w:basedOn w:val="686"/>
    <w:link w:val="696"/>
    <w:uiPriority w:val="99"/>
    <w:semiHidden/>
    <w:rPr>
      <w:sz w:val="20"/>
      <w:szCs w:val="20"/>
    </w:rPr>
  </w:style>
  <w:style w:type="character" w:styleId="698">
    <w:name w:val="annotation reference"/>
    <w:basedOn w:val="686"/>
    <w:uiPriority w:val="99"/>
    <w:semiHidden/>
    <w:unhideWhenUsed/>
    <w:rPr>
      <w:sz w:val="16"/>
      <w:szCs w:val="16"/>
    </w:rPr>
  </w:style>
  <w:style w:type="paragraph" w:styleId="699">
    <w:name w:val="List Paragraph"/>
    <w:basedOn w:val="685"/>
    <w:link w:val="700"/>
    <w:uiPriority w:val="34"/>
    <w:qFormat/>
    <w:pPr>
      <w:contextualSpacing/>
      <w:ind w:left="720" w:right="2" w:firstLine="710"/>
      <w:jc w:val="both"/>
      <w:spacing w:after="16" w:line="385" w:lineRule="auto"/>
    </w:pPr>
    <w:rPr>
      <w:color w:val="000000"/>
      <w:sz w:val="28"/>
      <w:szCs w:val="22"/>
    </w:rPr>
  </w:style>
  <w:style w:type="character" w:styleId="700" w:customStyle="1">
    <w:name w:val="Абзац списка Знак"/>
    <w:link w:val="699"/>
    <w:uiPriority w:val="34"/>
    <w:qFormat/>
    <w:rPr>
      <w:rFonts w:ascii="Times New Roman" w:hAnsi="Times New Roman" w:eastAsia="Times New Roman" w:cs="Times New Roman"/>
      <w:color w:val="000000"/>
      <w:sz w:val="28"/>
      <w:lang w:eastAsia="ru-RU"/>
    </w:rPr>
  </w:style>
  <w:style w:type="paragraph" w:styleId="701">
    <w:name w:val="footnote text"/>
    <w:basedOn w:val="685"/>
    <w:link w:val="702"/>
    <w:uiPriority w:val="99"/>
    <w:semiHidden/>
    <w:unhideWhenUsed/>
    <w:pPr>
      <w:ind w:right="2" w:firstLine="710"/>
      <w:jc w:val="both"/>
    </w:pPr>
    <w:rPr>
      <w:color w:val="000000"/>
      <w:sz w:val="20"/>
      <w:szCs w:val="20"/>
    </w:rPr>
  </w:style>
  <w:style w:type="character" w:styleId="702" w:customStyle="1">
    <w:name w:val="Текст сноски Знак"/>
    <w:basedOn w:val="686"/>
    <w:link w:val="701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703">
    <w:name w:val="footnote reference"/>
    <w:basedOn w:val="686"/>
    <w:uiPriority w:val="99"/>
    <w:semiHidden/>
    <w:unhideWhenUsed/>
    <w:rPr>
      <w:vertAlign w:val="superscript"/>
    </w:rPr>
  </w:style>
  <w:style w:type="paragraph" w:styleId="704" w:customStyle="1">
    <w:name w:val="docdata"/>
    <w:basedOn w:val="685"/>
    <w:pPr>
      <w:spacing w:before="100" w:beforeAutospacing="1" w:after="100" w:afterAutospacing="1"/>
    </w:pPr>
  </w:style>
  <w:style w:type="paragraph" w:styleId="705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 Юрий Альбертович</dc:creator>
  <cp:revision>11</cp:revision>
  <dcterms:created xsi:type="dcterms:W3CDTF">2024-08-17T06:43:00Z</dcterms:created>
  <dcterms:modified xsi:type="dcterms:W3CDTF">2024-08-19T04:05:08Z</dcterms:modified>
</cp:coreProperties>
</file>