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252"/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/>
        <w:jc w:val="right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 внесении изменений в постановление Правительства Новосибирской области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25.03.2019 № 120-п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я е 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Правительства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25.03.2019 № 120-п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объема и предоставления субсидии из областного бюджета Новосибирской области в виде имущ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ественного взноса в автономную некоммерческую организацию по проведению экспертиз «Центр экспертиз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реамбулу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со статьей 78.1 Бюджетного кодекса Российской Федерации, Федеральным законом от 12.01.1996 № 7-ФЗ «О некоммерческих организациях»,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25.10.2023 № 1782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альным предпринимателям, а также физическим лицам - производителям товаров, работ, услуг и проведение отборов получат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елей указанных субсидий, в том числе грантов в форме субсидий»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Правительство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 о с т а н о в л я е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 Порядке определения объема и предоставления субсидии из областного бюджета Новосибирской области в виде имущественного взноса в Автономную некоммерческую организацию по проведению экспертиз «Центр экспертиз»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Порядок)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абзац 1 пункта 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bookmarkStart w:id="0" w:name="_GoBack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Целью предоставления субсидии является обеспечение уставной деятельности получателя в 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следующих направлений расходов, источником финансового обеспечения которых является субсидия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ункт 3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Субсидия предоставляется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текущем финансовом году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управлением делами Губернатора Новосибирской области и Правительства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 делами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осуществляющим функции главного распорядителя бюджетных средств, до которого в соответствии с бюджетным законодательством как получателя бюджетных средств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доведены в установленном порядке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лимиты бюджетных обязательств на предоставление субсидии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текущий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финансовый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плановый период, на цели, указанные в пункте 2 настоящего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предоставления субсидии – финансовое обеспечение затрат.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субсидии размещаются на едином портале бюджетной системы Россий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ской Федерации в информационно-телекоммуникационной сети «Интернет» (в разделе единого портала)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установленном Министерством финансов Российской Федерации 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3) пункт 4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получения субсидии, а также подтверждения соответствия получателя требованиям, указанным в </w:t>
      </w:r>
      <w:hyperlink r:id="rId11" w:tooltip="https://login.consultant.ru/link/?req=doc&amp;base=RLAW049&amp;n=164094&amp;dst=100106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пункте 8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настоящего Порядка, получатель представляет в управление делами следующие документы: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hyperlink r:id="rId12" w:tooltip="https://login.consultant.ru/link/?req=doc&amp;base=RLAW049&amp;n=164094&amp;dst=100068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заявку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 получение субсидии по форме согласно приложению № 1 к настоящему Порядку;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</w:t>
      </w:r>
      <w:hyperlink r:id="rId13" w:tooltip="https://login.consultant.ru/link/?req=doc&amp;base=RLAW049&amp;n=164094&amp;dst=100087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смету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расходов, источником финансового обеспечения которых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будет являться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субсидия, составленную по форме согласно приложению № 2 к насто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ящему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смета);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справку налогового органа об отсутствии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получателя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едином налоговом счете или не превышении размера, определенного пунктом 3 статьи 47 Налогового кодекса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задолженности об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- справка). Справка запрашивается управлением делами у соответствующего государственного органа в порядке межведомственного электронного взаимодействия. Получатель при подаче документов вправе представить справку по собственной инициативе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4) дополнить пунктом 4.1.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«4.1. Получатель несет ответственность за достоверность сведений, содержащихся в документах, представленных получателем в соответствии с пунктом 4 настоящего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пунктом 4.2.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«4.2. Проверка документов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представленных получателем в соответствии с пунктом 4 настоящего Порядка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 соответствие их требованиям, указанным в пункте 8 настоящего Порядка,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течение 7 рабочих дней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дня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их регистрации в управлении делами.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6) п</w:t>
      </w:r>
      <w:r>
        <w:rPr>
          <w:rFonts w:ascii="Times New Roman" w:hAnsi="Times New Roman" w:cs="Times New Roman"/>
          <w:sz w:val="28"/>
          <w:szCs w:val="28"/>
        </w:rPr>
        <w:t xml:space="preserve">одпункт 8 пункта 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«8) </w:t>
      </w:r>
      <w:r>
        <w:rPr>
          <w:rFonts w:ascii="Times New Roman" w:hAnsi="Times New Roman" w:cs="Times New Roman"/>
          <w:sz w:val="28"/>
          <w:szCs w:val="28"/>
        </w:rPr>
        <w:t xml:space="preserve">запрет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, а также иными юридическими лицами, получающими средства на основании договоров, заключенных с получател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, за счет полученных из </w:t>
      </w:r>
      <w:r>
        <w:rPr>
          <w:rFonts w:ascii="Times New Roman" w:hAnsi="Times New Roman" w:cs="Times New Roman"/>
          <w:sz w:val="28"/>
          <w:szCs w:val="28"/>
        </w:rPr>
        <w:t xml:space="preserve">областного бюджета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 xml:space="preserve"> иностранной валюты, за исключением операц</w:t>
      </w:r>
      <w:r>
        <w:rPr>
          <w:rFonts w:ascii="Times New Roman" w:hAnsi="Times New Roman" w:cs="Times New Roman"/>
          <w:sz w:val="28"/>
          <w:szCs w:val="28"/>
        </w:rPr>
        <w:t xml:space="preserve">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средств;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7) пункт 8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«8.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Требования, которым должен соответствовать получатель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первое число месяца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предшествующего месяцу, в котором планируется заключение соглашения: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явля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4" w:tooltip="https://login.consultant.ru/link/?req=doc&amp;base=LAW&amp;n=420230&amp;dst=100010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находит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в составляемых в рамках реализации полномочий, предусмотренных </w:t>
      </w:r>
      <w:hyperlink r:id="rId15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главой VII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Ус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получатель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получа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средства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 бюджета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основании иных нормативных правовых актов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цели, установленные настоящим Порядком;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получатель не должен являться иностранным агентом в соответствии с Федеральным законом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14.07.2022 №255-ФЗ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контроле за деятельностью лиц, находящихся под иностранным влиянием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получателя на едином налоговом счете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не превыша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размер, определенный </w:t>
      </w:r>
      <w:hyperlink r:id="rId16" w:tooltip="https://login.consultant.ru/link/?req=doc&amp;base=LAW&amp;n=451215&amp;dst=5769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3 статьи 47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получателя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отсутств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просроченная задолженность по возврату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бюджет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 исключением случаев,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Правительством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8)  дополнить пунктом 9.1.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9.1. В случае уменьшения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управлению делами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как получателю бюджетных средств ранее доведенных лимитов бюджетных обязательств, указанных в </w:t>
      </w:r>
      <w:hyperlink r:id="rId17" w:tooltip="https://login.consultant.ru/link/?req=doc&amp;base=RLAW072&amp;n=195823&amp;dst=10001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3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Порядка, приводящего к невозможности предоставления субсидии в размере, определенном в соглашении, заключается дополнительное соглашение, содержащее новые условия соглашения, или соглашение о расторжении - при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недостижении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согласия по новым условиям.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 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10.2 следующего содержания: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«10.2. </w:t>
      </w: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</w:t>
      </w:r>
      <w:r>
        <w:rPr>
          <w:rFonts w:ascii="Times New Roman" w:hAnsi="Times New Roman" w:cs="Times New Roman"/>
          <w:sz w:val="28"/>
          <w:szCs w:val="28"/>
        </w:rPr>
        <w:t xml:space="preserve">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в форме разделения, выделения, а также при его ликвидации соглашение расторгается с формированием уведомления о расторжении соглашения в односторо</w:t>
      </w:r>
      <w:r>
        <w:rPr>
          <w:rFonts w:ascii="Times New Roman" w:hAnsi="Times New Roman" w:cs="Times New Roman"/>
          <w:sz w:val="28"/>
          <w:szCs w:val="28"/>
        </w:rPr>
        <w:t xml:space="preserve">ннем порядке и акта о</w:t>
      </w:r>
      <w:r>
        <w:rPr>
          <w:rFonts w:ascii="Times New Roman" w:hAnsi="Times New Roman" w:cs="Times New Roman"/>
          <w:sz w:val="28"/>
          <w:szCs w:val="28"/>
        </w:rPr>
        <w:t xml:space="preserve">б исполнении обязательств по соглашению с отражением информации о неисполненных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областной бюджет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абзаце первом пункта 13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слова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редоставленной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заменить словами «суммы субсидии, израсходованной с нарушениями условий её предоставления»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11) </w:t>
      </w:r>
      <w:r>
        <w:rPr>
          <w:rFonts w:ascii="Times New Roman" w:hAnsi="Times New Roman" w:cs="Times New Roman"/>
          <w:sz w:val="28"/>
          <w:szCs w:val="28"/>
        </w:rPr>
        <w:t xml:space="preserve">пункт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15. 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Получатель ежеквартально в срок не позднее 5 рабочих дней со дня окончания соответствующего отчетного квартала представляет в управление делами отчет о достижении значений результатов предоставления субсидии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и отчет о расходах получателя, источником финансового обеспечения которых является субсидия,  по формам, определенным типовыми формами соглашений, установленными министерством финансов и налогово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политики Новосибирской области. 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Дополнительно получатель также предоставляет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управление делами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отчет о реализации плана мероприятий по достиже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нию результатов предоставления субсидии (контрольных точек)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срок и по форме, определенные соглашением.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Управление делами осуществляет проверку предоставленной отчетности в течение 7 рабочих дней со дня ее пред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ставления, и при наличии замечаний к документам возвращает ее получателю на доработку в течение одного рабочего дня после завершения проверки. Получат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ель обязаны устранить замечания и повторно представить отчетность в управление делами не позднее 3 рабочих дней со дня получения отчетности на доработку.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12)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приложение № 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орядку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изложить в редакции согласно приложению № 1 к нас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тоящему постановлению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наименование приложения № 2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изложить в следующей редакции «СМЕТА расходов, источником финансового обеспечения которых будет являться субсидия, на 20 ___ год».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spacing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В.Г. Манев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238 64 45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tabs>
          <w:tab w:val="left" w:pos="795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</w:t>
      </w:r>
      <w:r/>
    </w:p>
    <w:p>
      <w:pPr>
        <w:spacing w:after="0" w:line="240" w:lineRule="auto"/>
        <w:tabs>
          <w:tab w:val="left" w:pos="7950" w:leader="none"/>
        </w:tabs>
      </w:pPr>
      <w:r/>
      <w:r/>
    </w:p>
    <w:p>
      <w:pPr>
        <w:ind w:left="6236" w:hanging="6236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«____»__________2024 г.</w:t>
      </w:r>
      <w:r/>
    </w:p>
    <w:p>
      <w:pPr>
        <w:ind w:left="6372"/>
        <w:spacing w:after="0" w:line="240" w:lineRule="auto"/>
      </w:pPr>
      <w:r/>
      <w:r/>
    </w:p>
    <w:p>
      <w:pPr>
        <w:ind w:left="6372"/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финансов </w:t>
      </w:r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и налоговой политики Новосибирской области                                 В.Ю. Голубенко </w:t>
      </w:r>
      <w:r/>
    </w:p>
    <w:p>
      <w:pPr>
        <w:spacing w:after="0" w:line="240" w:lineRule="auto"/>
      </w:pPr>
      <w:r/>
      <w:r/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«____»__________2024 г.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 Новосибирской области                                               Т.Н. Деркач</w:t>
      </w:r>
      <w:r/>
    </w:p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«____»__________2024г.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/>
    </w:p>
    <w:p>
      <w:pPr>
        <w:ind w:left="6372"/>
        <w:spacing w:after="0" w:line="240" w:lineRule="auto"/>
      </w:pPr>
      <w:r/>
      <w:r/>
    </w:p>
    <w:p>
      <w:pPr>
        <w:spacing w:after="0" w:line="240" w:lineRule="auto"/>
        <w:tabs>
          <w:tab w:val="left" w:pos="7380" w:leader="none"/>
        </w:tabs>
      </w:pPr>
      <w:r/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делами Губернатора</w:t>
      </w:r>
      <w:r/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 и Правительства</w:t>
      </w:r>
      <w:r/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В.Г. Манев</w:t>
      </w:r>
      <w:r/>
    </w:p>
    <w:p>
      <w:pPr>
        <w:spacing w:after="0" w:line="240" w:lineRule="auto"/>
      </w:pPr>
      <w:r/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«____»__________2024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tabs>
          <w:tab w:val="left" w:pos="7380" w:leader="none"/>
        </w:tabs>
      </w:pPr>
      <w:r>
        <w:rPr>
          <w:rFonts w:ascii="Times New Roman" w:hAnsi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Правительства Новосибирской области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Т.В. Демкова</w:t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</w:p>
    <w:p>
      <w:pPr>
        <w:spacing w:after="0" w:line="240" w:lineRule="auto"/>
        <w:tabs>
          <w:tab w:val="left" w:pos="7380" w:leader="none"/>
        </w:tabs>
      </w:pPr>
      <w:r/>
      <w:r/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финансового контроля,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аудита и организационного обеспечения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делами Губернатора Новосибирской области 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tabs>
          <w:tab w:val="left" w:pos="7380" w:leader="none"/>
        </w:tabs>
        <w:rPr>
          <w:rFonts w:ascii="Times New Roman" w:hAnsi="Times New Roman" w:cs="Times New Roman"/>
          <w:b/>
          <w:bCs/>
          <w:sz w:val="18"/>
          <w:szCs w:val="18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Н.Ю. Лукьянова</w:t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  <w:r>
        <w:rPr>
          <w:rFonts w:ascii="Times New Roman" w:hAnsi="Times New Roman" w:cs="Times New Roman"/>
          <w:b/>
          <w:bCs/>
          <w:sz w:val="18"/>
          <w:szCs w:val="1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716"/>
    <w:link w:val="708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71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716"/>
    <w:link w:val="728"/>
    <w:uiPriority w:val="10"/>
    <w:rPr>
      <w:sz w:val="48"/>
      <w:szCs w:val="48"/>
    </w:rPr>
  </w:style>
  <w:style w:type="character" w:styleId="680">
    <w:name w:val="Subtitle Char"/>
    <w:basedOn w:val="716"/>
    <w:link w:val="730"/>
    <w:uiPriority w:val="11"/>
    <w:rPr>
      <w:sz w:val="24"/>
      <w:szCs w:val="24"/>
    </w:rPr>
  </w:style>
  <w:style w:type="character" w:styleId="681">
    <w:name w:val="Quote Char"/>
    <w:link w:val="732"/>
    <w:uiPriority w:val="29"/>
    <w:rPr>
      <w:i/>
    </w:rPr>
  </w:style>
  <w:style w:type="character" w:styleId="682">
    <w:name w:val="Intense Quote Char"/>
    <w:link w:val="734"/>
    <w:uiPriority w:val="30"/>
    <w:rPr>
      <w:i/>
    </w:rPr>
  </w:style>
  <w:style w:type="character" w:styleId="683">
    <w:name w:val="Header Char"/>
    <w:basedOn w:val="716"/>
    <w:link w:val="736"/>
    <w:uiPriority w:val="99"/>
  </w:style>
  <w:style w:type="character" w:styleId="684">
    <w:name w:val="Caption Char"/>
    <w:basedOn w:val="740"/>
    <w:link w:val="738"/>
    <w:uiPriority w:val="99"/>
  </w:style>
  <w:style w:type="table" w:styleId="685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5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6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99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02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03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04">
    <w:name w:val="Footnote Text Char"/>
    <w:link w:val="869"/>
    <w:uiPriority w:val="99"/>
    <w:rPr>
      <w:sz w:val="18"/>
    </w:rPr>
  </w:style>
  <w:style w:type="character" w:styleId="705">
    <w:name w:val="Endnote Text Char"/>
    <w:link w:val="872"/>
    <w:uiPriority w:val="99"/>
    <w:rPr>
      <w:sz w:val="20"/>
    </w:rPr>
  </w:style>
  <w:style w:type="paragraph" w:styleId="706" w:default="1">
    <w:name w:val="Normal"/>
    <w:qFormat/>
  </w:style>
  <w:style w:type="paragraph" w:styleId="707">
    <w:name w:val="Heading 1"/>
    <w:basedOn w:val="706"/>
    <w:next w:val="706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72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9">
    <w:name w:val="Heading 3"/>
    <w:basedOn w:val="706"/>
    <w:next w:val="706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72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3">
    <w:name w:val="Heading 7"/>
    <w:basedOn w:val="706"/>
    <w:next w:val="706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link w:val="707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708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709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712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706"/>
    <w:next w:val="706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link w:val="728"/>
    <w:uiPriority w:val="10"/>
    <w:rPr>
      <w:sz w:val="48"/>
      <w:szCs w:val="48"/>
    </w:rPr>
  </w:style>
  <w:style w:type="paragraph" w:styleId="730">
    <w:name w:val="Subtitle"/>
    <w:basedOn w:val="706"/>
    <w:next w:val="706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link w:val="730"/>
    <w:uiPriority w:val="11"/>
    <w:rPr>
      <w:sz w:val="24"/>
      <w:szCs w:val="24"/>
    </w:rPr>
  </w:style>
  <w:style w:type="paragraph" w:styleId="732">
    <w:name w:val="Quote"/>
    <w:basedOn w:val="706"/>
    <w:next w:val="706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6"/>
    <w:next w:val="706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paragraph" w:styleId="736">
    <w:name w:val="Header"/>
    <w:basedOn w:val="70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 w:customStyle="1">
    <w:name w:val="Верхний колонтитул Знак"/>
    <w:link w:val="736"/>
    <w:uiPriority w:val="99"/>
  </w:style>
  <w:style w:type="paragraph" w:styleId="738">
    <w:name w:val="Footer"/>
    <w:basedOn w:val="70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 w:customStyle="1">
    <w:name w:val="Footer Char"/>
    <w:uiPriority w:val="99"/>
  </w:style>
  <w:style w:type="paragraph" w:styleId="740">
    <w:name w:val="Caption"/>
    <w:basedOn w:val="706"/>
    <w:next w:val="70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41" w:customStyle="1">
    <w:name w:val="Нижний колонтитул Знак"/>
    <w:link w:val="738"/>
    <w:uiPriority w:val="99"/>
  </w:style>
  <w:style w:type="table" w:styleId="74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Таблица простая 11"/>
    <w:basedOn w:val="71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Таблица простая 2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Таблица простая 3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Таблица простая 4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 простая 5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1 светл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Таблица-сетка 2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Таблица-сетка 3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Таблица-сетка 4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Таблица-сетка 5 тем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Таблица-сетка 6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Таблица-сетка 7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Список-таблица 1 светл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Список-таблица 2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Список-таблица 3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Список-таблица 4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5 тем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Список-таблица 6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Список-таблица 7 цветная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0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70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706"/>
    <w:next w:val="706"/>
    <w:uiPriority w:val="39"/>
    <w:unhideWhenUsed/>
    <w:pPr>
      <w:spacing w:after="57"/>
    </w:pPr>
  </w:style>
  <w:style w:type="paragraph" w:styleId="876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7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8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9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80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81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82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3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6"/>
    <w:next w:val="706"/>
    <w:uiPriority w:val="99"/>
    <w:unhideWhenUsed/>
    <w:pPr>
      <w:spacing w:after="0"/>
    </w:pPr>
  </w:style>
  <w:style w:type="paragraph" w:styleId="886">
    <w:name w:val="No Spacing"/>
    <w:basedOn w:val="706"/>
    <w:uiPriority w:val="1"/>
    <w:qFormat/>
    <w:pPr>
      <w:spacing w:after="0" w:line="240" w:lineRule="auto"/>
    </w:pPr>
  </w:style>
  <w:style w:type="paragraph" w:styleId="887">
    <w:name w:val="List Paragraph"/>
    <w:basedOn w:val="706"/>
    <w:uiPriority w:val="34"/>
    <w:qFormat/>
    <w:pPr>
      <w:contextualSpacing/>
      <w:ind w:left="720"/>
    </w:pPr>
  </w:style>
  <w:style w:type="paragraph" w:styleId="888" w:customStyle="1">
    <w:name w:val="ConsPlusNormal"/>
    <w:qFormat/>
    <w:pPr>
      <w:ind w:firstLine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sz w:val="20"/>
      <w:szCs w:val="20"/>
      <w:lang w:eastAsia="ru-RU"/>
    </w:rPr>
  </w:style>
  <w:style w:type="character" w:styleId="889">
    <w:name w:val="annotation reference"/>
    <w:basedOn w:val="716"/>
    <w:uiPriority w:val="99"/>
    <w:semiHidden/>
    <w:unhideWhenUsed/>
    <w:rPr>
      <w:sz w:val="16"/>
      <w:szCs w:val="16"/>
    </w:rPr>
  </w:style>
  <w:style w:type="paragraph" w:styleId="890">
    <w:name w:val="annotation text"/>
    <w:basedOn w:val="706"/>
    <w:link w:val="89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1" w:customStyle="1">
    <w:name w:val="Текст примечания Знак"/>
    <w:basedOn w:val="716"/>
    <w:link w:val="890"/>
    <w:uiPriority w:val="99"/>
    <w:semiHidden/>
    <w:rPr>
      <w:sz w:val="20"/>
      <w:szCs w:val="20"/>
    </w:rPr>
  </w:style>
  <w:style w:type="paragraph" w:styleId="892">
    <w:name w:val="annotation subject"/>
    <w:basedOn w:val="890"/>
    <w:next w:val="890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1"/>
    <w:link w:val="892"/>
    <w:uiPriority w:val="99"/>
    <w:semiHidden/>
    <w:rPr>
      <w:b/>
      <w:bCs/>
      <w:sz w:val="20"/>
      <w:szCs w:val="20"/>
    </w:rPr>
  </w:style>
  <w:style w:type="paragraph" w:styleId="894">
    <w:name w:val="Balloon Text"/>
    <w:basedOn w:val="706"/>
    <w:link w:val="89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basedOn w:val="716"/>
    <w:link w:val="89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164094&amp;dst=100106" TargetMode="External"/><Relationship Id="rId12" Type="http://schemas.openxmlformats.org/officeDocument/2006/relationships/hyperlink" Target="https://login.consultant.ru/link/?req=doc&amp;base=RLAW049&amp;n=164094&amp;dst=100068" TargetMode="External"/><Relationship Id="rId13" Type="http://schemas.openxmlformats.org/officeDocument/2006/relationships/hyperlink" Target="https://login.consultant.ru/link/?req=doc&amp;base=RLAW049&amp;n=164094&amp;dst=100087" TargetMode="External"/><Relationship Id="rId14" Type="http://schemas.openxmlformats.org/officeDocument/2006/relationships/hyperlink" Target="https://login.consultant.ru/link/?req=doc&amp;base=LAW&amp;n=420230&amp;dst=100010" TargetMode="External"/><Relationship Id="rId15" Type="http://schemas.openxmlformats.org/officeDocument/2006/relationships/hyperlink" Target="https://login.consultant.ru/link/?req=doc&amp;base=LAW&amp;n=121087&amp;dst=100142" TargetMode="External"/><Relationship Id="rId16" Type="http://schemas.openxmlformats.org/officeDocument/2006/relationships/hyperlink" Target="https://login.consultant.ru/link/?req=doc&amp;base=LAW&amp;n=451215&amp;dst=5769" TargetMode="External"/><Relationship Id="rId17" Type="http://schemas.openxmlformats.org/officeDocument/2006/relationships/hyperlink" Target="https://login.consultant.ru/link/?req=doc&amp;base=RLAW072&amp;n=195823&amp;dst=1000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1517-4422-41B5-AC93-45E4261E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Арсений</dc:creator>
  <cp:revision>13</cp:revision>
  <dcterms:created xsi:type="dcterms:W3CDTF">2023-12-10T08:01:00Z</dcterms:created>
  <dcterms:modified xsi:type="dcterms:W3CDTF">2024-03-22T07:38:47Z</dcterms:modified>
</cp:coreProperties>
</file>