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ключевым показателям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680"/>
        <w:jc w:val="righ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эффективности пилотного проекта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80"/>
        <w:jc w:val="righ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 созданию системы долговременного ухода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80"/>
        <w:jc w:val="righ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за гражданами пожилого возраста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680"/>
        <w:jc w:val="righ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 инвалидами,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нуждающимися в уходе,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680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реализуемого в Новосибирской области</w:t>
      </w:r>
      <w:r/>
      <w:r/>
    </w:p>
    <w:p>
      <w:pPr>
        <w:pStyle w:val="680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РАСЧЕТ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показателей эффективности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пилотного проекта по созданию системы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долговременного ухода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за гражданами пожилого возраста и инвалидами, нуждающимися в уходе,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реализуемого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 Новосибирской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b/>
          <w:bCs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8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409"/>
        <w:gridCol w:w="2126"/>
        <w:gridCol w:w="4677"/>
        <w:gridCol w:w="2551"/>
      </w:tblGrid>
      <w:tr>
        <w:trPr/>
        <w:tc>
          <w:tcPr>
            <w:tcW w:w="675" w:type="dxa"/>
            <w:textDirection w:val="lrTb"/>
            <w:noWrap w:val="false"/>
          </w:tcPr>
          <w:p>
            <w:pPr>
              <w:ind w:left="142" w:right="0" w:firstLine="0"/>
              <w:jc w:val="center"/>
              <w:spacing w:after="62" w:line="276" w:lineRule="atLeast"/>
              <w:rPr>
                <w:rFonts w:ascii="Times New Roman" w:hAnsi="Times New Roman" w:eastAsia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п/п</w:t>
            </w:r>
            <w:r/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Наименование целевого результата</w:t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Наименование показателя эффективности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Единица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измерения</w:t>
            </w:r>
            <w:r/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Формула расчета</w:t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Источник информации для расчета</w:t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371"/>
        </w:trPr>
        <w:tc>
          <w:tcPr>
            <w:gridSpan w:val="6"/>
            <w:tcW w:w="1470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 показатели эффективности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Снижение уровня (частоты) госпитализаций граждан, получающих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социальные услуги в рамках системы долговременного ухода,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медицинские организации</w:t>
            </w:r>
            <w:r/>
            <w:r>
              <w:rPr>
                <w:sz w:val="24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Частота госпитализаций граждан, получающих социальные услуги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рамках системы долговременного ухода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Случаев на 100 человек, получающих социальные услуги в рамках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системы долговременного ухода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83" w:lineRule="atLeast"/>
              <w:rPr>
                <w:sz w:val="16"/>
                <w:szCs w:val="1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4"/>
                  <w:szCs w:val="24"/>
                  <w:highlight w:val="none"/>
                </w:rPr>
                <m:rPr/>
                <m:t>∆</m:t>
              </m:r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hint="default"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color w:val="ffffff" w:themeColor="background1"/>
                        <w:sz w:val="16"/>
                        <w:szCs w:val="16"/>
                      </w:rPr>
                      <m:rPr/>
                      <m:t>щ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г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color w:val="000000"/>
                <w:sz w:val="20"/>
                <w:vertAlign w:val="subscript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=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о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г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hint="default"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п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г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,</w:t>
            </w:r>
            <w:r/>
          </w:p>
          <w:p>
            <w:pPr>
              <w:ind w:left="0" w:right="0" w:firstLine="0"/>
              <w:jc w:val="both"/>
              <w:spacing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где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о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г</m:t>
                    </m:r>
                  </m:e>
                </m:mr>
              </m:m>
            </m:oMath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п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г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– частота госпитализаций граждан, получающих социальные услуги в рамках системы долговременного ухода, в расчете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 100 человек, получающих такие услуги, в отчетном периоде и периоде, предшествующем отчетному, соответственно;</w:t>
            </w:r>
            <w:r/>
            <w:r>
              <w:rPr>
                <w:sz w:val="24"/>
              </w:rPr>
            </w:r>
          </w:p>
          <w:p>
            <w:pPr>
              <w:ind w:left="0" w:right="0" w:firstLine="0"/>
              <w:jc w:val="center"/>
              <w:spacing w:after="249" w:line="283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о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г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 = </w:t>
            </w:r>
            <m:oMath>
              <m:f>
                <m:fPr>
                  <m:ctrlPr>
                    <w:rPr>
                      <w:rFonts w:hint="default" w:ascii="Cambria Math" w:hAnsi="Cambria Math" w:eastAsia="Cambria Math" w:cs="Cambria Math"/>
                      <w:i/>
                      <w:color w:val="000000"/>
                      <w:sz w:val="24"/>
                      <w:highlight w:val="none"/>
                    </w:rPr>
                  </m:ctrlPr>
                </m:fPr>
                <m:num>
                  <m:r>
                    <w:rPr>
                      <w:rFonts w:hint="default" w:ascii="Cambria Math" w:hAnsi="Cambria Math" w:eastAsia="Cambria Math" w:cs="Cambria Math"/>
                      <w:color w:val="000000"/>
                      <w:sz w:val="24"/>
                      <w:szCs w:val="24"/>
                    </w:rPr>
                    <m:rPr/>
                    <m:t>N</m:t>
                  </m:r>
                  <m:m>
                    <m:mPr>
                      <m:baseJc m:val="center"/>
                      <m:cGp/>
                      <m:cGpRule/>
                      <m:cSp/>
                      <m:mcs>
                        <m:mc>
                          <m:mcPr>
                            <m:mcJc m:val="center"/>
                            <m:count m:val="1"/>
                          </m:mcPr>
                        </m:mc>
                      </m:mcs>
                      <m:plcHide m:val="off"/>
                      <m:rSp/>
                      <m:rSpRule/>
                      <m:ctrlPr>
                        <w:rPr>
                          <w:rFonts w:hint="default" w:ascii="Cambria Math" w:hAnsi="Cambria Math" w:eastAsia="Cambria Math" w:cs="Cambria Math"/>
                          <w:i/>
                          <w:color w:val="000000"/>
                          <w:sz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eastAsia="Cambria Math" w:cs="Cambria Math"/>
                            <w:sz w:val="24"/>
                            <w:szCs w:val="24"/>
                          </w:rPr>
                          <m:rPr/>
                          <m:t>о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eastAsia="Cambria Math" w:cs="Cambria Math"/>
                            <w:sz w:val="24"/>
                            <w:szCs w:val="24"/>
                          </w:rPr>
                          <m:rPr/>
                          <m:t>г</m:t>
                        </m:r>
                      </m:e>
                    </m:mr>
                  </m:m>
                </m:num>
                <m:den>
                  <m:r>
                    <w:rPr>
                      <w:rFonts w:hint="default" w:ascii="Cambria Math" w:hAnsi="Cambria Math" w:eastAsia="Cambria Math" w:cs="Cambria Math"/>
                      <w:color w:val="000000"/>
                      <w:sz w:val="24"/>
                      <w:szCs w:val="24"/>
                    </w:rPr>
                    <m:rPr/>
                    <m:t>N</m:t>
                  </m:r>
                  <m:m>
                    <m:mPr>
                      <m:baseJc m:val="center"/>
                      <m:cGp/>
                      <m:cGpRule/>
                      <m:cSp/>
                      <m:mcs>
                        <m:mc>
                          <m:mcPr>
                            <m:mcJc m:val="center"/>
                            <m:count m:val="1"/>
                          </m:mcPr>
                        </m:mc>
                      </m:mcs>
                      <m:plcHide m:val="off"/>
                      <m:rSp/>
                      <m:rSpRule/>
                      <m:ctrlPr>
                        <w:rPr>
                          <w:rFonts w:hint="default" w:ascii="Cambria Math" w:hAnsi="Cambria Math" w:eastAsia="Cambria Math" w:cs="Cambria Math"/>
                          <w:i/>
                          <w:color w:val="000000"/>
                          <w:sz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eastAsia="Cambria Math" w:cs="Cambria Math"/>
                            <w:sz w:val="24"/>
                            <w:szCs w:val="24"/>
                          </w:rPr>
                          <m:rPr/>
                          <m:t>о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eastAsia="Cambria Math" w:cs="Cambria Math"/>
                            <w:sz w:val="24"/>
                            <w:szCs w:val="24"/>
                          </w:rPr>
                          <m:rPr/>
                          <m:t>s</m:t>
                        </m:r>
                      </m:e>
                    </m:mr>
                  </m:m>
                </m:den>
              </m:f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4"/>
                  <w:szCs w:val="24"/>
                  <w:highlight w:val="none"/>
                </w:rPr>
                <m:rPr/>
                <m:t>×</m:t>
              </m:r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100,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83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где N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о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г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– численность госпитализированных граждан,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получающих социальные услуги в рамках системы долговременного ухода,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в отчетном периоде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;</w:t>
            </w:r>
            <w:r>
              <w:rPr>
                <w:sz w:val="24"/>
                <w:highlight w:val="white"/>
              </w:rPr>
            </w:r>
          </w:p>
          <w:p>
            <w:pPr>
              <w:ind w:left="0" w:right="0" w:firstLine="0"/>
              <w:jc w:val="both"/>
              <w:spacing w:after="0" w:line="283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hint="default" w:ascii="Cambria Math" w:hAnsi="Cambria Math" w:eastAsia="Cambria Math" w:cs="Cambria Math"/>
                      <w:i/>
                      <w:color w:val="000000"/>
                      <w:sz w:val="16"/>
                      <w:highlight w:val="white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  <w:highlight w:val="white"/>
                      </w:rPr>
                      <m:rPr/>
                      <m:t>о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  <w:highlight w:val="white"/>
                      </w:rPr>
                      <m:rPr/>
                      <m:t>s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 – среднегодовая численность граждан, получающих социальные услуги в рамках системы долговременного ухода, 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 отчетном периоде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;</w:t>
            </w:r>
            <w:r>
              <w:rPr>
                <w:highlight w:val="white"/>
              </w:rPr>
            </w:r>
          </w:p>
          <w:p>
            <w:pPr>
              <w:ind w:left="0" w:right="0" w:firstLine="0"/>
              <w:jc w:val="center"/>
              <w:spacing w:after="249" w:line="283" w:lineRule="atLeast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hint="default" w:ascii="Cambria Math" w:hAnsi="Cambria Math" w:eastAsia="Cambria Math" w:cs="Cambria Math"/>
                      <w:i/>
                      <w:color w:val="000000"/>
                      <w:sz w:val="16"/>
                      <w:highlight w:val="white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  <w:highlight w:val="white"/>
                      </w:rPr>
                      <m:rPr/>
                      <m:t>п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  <w:highlight w:val="white"/>
                      </w:rPr>
                      <m:rPr/>
                      <m:t>г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 = </w:t>
            </w:r>
            <m:oMath>
              <m:f>
                <m:fPr>
                  <m:ctrlPr>
                    <w:rPr>
                      <w:rFonts w:hint="default" w:ascii="Cambria Math" w:hAnsi="Cambria Math" w:eastAsia="Cambria Math" w:cs="Cambria Math"/>
                      <w:i/>
                      <w:color w:val="000000"/>
                      <w:sz w:val="24"/>
                      <w:highlight w:val="white"/>
                    </w:rPr>
                  </m:ctrlPr>
                </m:fPr>
                <m:num>
                  <m:r>
                    <w:rPr>
                      <w:rFonts w:hint="default" w:ascii="Cambria Math" w:hAnsi="Cambria Math" w:eastAsia="Cambria Math" w:cs="Cambria Math"/>
                      <w:color w:val="000000"/>
                      <w:sz w:val="24"/>
                      <w:szCs w:val="24"/>
                      <w:highlight w:val="white"/>
                    </w:rPr>
                    <m:rPr/>
                    <m:t>N</m:t>
                  </m:r>
                  <m:m>
                    <m:mPr>
                      <m:baseJc m:val="center"/>
                      <m:cGp/>
                      <m:cGpRule/>
                      <m:cSp/>
                      <m:mcs>
                        <m:mc>
                          <m:mcPr>
                            <m:mcJc m:val="center"/>
                            <m:count m:val="1"/>
                          </m:mcPr>
                        </m:mc>
                      </m:mcs>
                      <m:plcHide m:val="off"/>
                      <m:rSp/>
                      <m:rSpRule/>
                      <m:ctrlPr>
                        <w:rPr>
                          <w:rFonts w:hint="default" w:ascii="Cambria Math" w:hAnsi="Cambria Math" w:eastAsia="Cambria Math" w:cs="Cambria Math"/>
                          <w:i/>
                          <w:color w:val="000000"/>
                          <w:sz w:val="24"/>
                          <w:highlight w:val="white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eastAsia="Cambria Math" w:cs="Cambria Math"/>
                            <w:highlight w:val="white"/>
                          </w:rPr>
                          <m:rPr/>
                          <m:t>п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eastAsia="Cambria Math" w:cs="Cambria Math"/>
                            <w:sz w:val="24"/>
                            <w:szCs w:val="24"/>
                            <w:highlight w:val="white"/>
                          </w:rPr>
                          <m:rPr/>
                          <m:t>г</m:t>
                        </m:r>
                      </m:e>
                    </m:mr>
                  </m:m>
                </m:num>
                <m:den>
                  <m:r>
                    <w:rPr>
                      <w:rFonts w:hint="default" w:ascii="Cambria Math" w:hAnsi="Cambria Math" w:eastAsia="Cambria Math" w:cs="Cambria Math"/>
                      <w:color w:val="000000"/>
                      <w:sz w:val="24"/>
                      <w:szCs w:val="24"/>
                      <w:highlight w:val="white"/>
                    </w:rPr>
                    <m:rPr/>
                    <m:t>N</m:t>
                  </m:r>
                  <m:m>
                    <m:mPr>
                      <m:baseJc m:val="center"/>
                      <m:cGp/>
                      <m:cGpRule/>
                      <m:cSp/>
                      <m:mcs>
                        <m:mc>
                          <m:mcPr>
                            <m:mcJc m:val="center"/>
                            <m:count m:val="1"/>
                          </m:mcPr>
                        </m:mc>
                      </m:mcs>
                      <m:plcHide m:val="off"/>
                      <m:rSp/>
                      <m:rSpRule/>
                      <m:ctrlPr>
                        <w:rPr>
                          <w:rFonts w:hint="default" w:ascii="Cambria Math" w:hAnsi="Cambria Math" w:eastAsia="Cambria Math" w:cs="Cambria Math"/>
                          <w:i/>
                          <w:color w:val="000000"/>
                          <w:sz w:val="24"/>
                          <w:highlight w:val="white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eastAsia="Cambria Math" w:cs="Cambria Math"/>
                            <w:highlight w:val="white"/>
                          </w:rPr>
                          <m:rPr/>
                          <m:t>п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eastAsia="Cambria Math" w:cs="Cambria Math"/>
                            <w:sz w:val="24"/>
                            <w:szCs w:val="24"/>
                            <w:highlight w:val="white"/>
                          </w:rPr>
                          <m:rPr/>
                          <m:t>s</m:t>
                        </m:r>
                      </m:e>
                    </m:mr>
                  </m:m>
                </m:den>
              </m:f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</w:r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4"/>
                  <w:szCs w:val="24"/>
                  <w:highlight w:val="white"/>
                </w:rPr>
                <m:rPr/>
                <m:t>×</m:t>
              </m:r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100,</w:t>
            </w:r>
            <w:r>
              <w:rPr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both"/>
              <w:spacing w:after="0" w:line="283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где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hint="default" w:ascii="Cambria Math" w:hAnsi="Cambria Math" w:eastAsia="Cambria Math" w:cs="Cambria Math"/>
                      <w:i/>
                      <w:color w:val="000000"/>
                      <w:sz w:val="16"/>
                      <w:highlight w:val="white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  <w:highlight w:val="white"/>
                      </w:rPr>
                      <m:rPr/>
                      <m:t>п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  <w:highlight w:val="white"/>
                      </w:rPr>
                      <m:rPr/>
                      <m:t>г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 – численность граждан, получающих социальные услуги в рамках системы долговременного ухода, госпитализированных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 периоде, предшествующем отчетному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;</w:t>
            </w:r>
            <w:r>
              <w:rPr>
                <w:sz w:val="24"/>
                <w:highlight w:val="white"/>
              </w:rPr>
            </w:r>
          </w:p>
          <w:p>
            <w:pPr>
              <w:ind w:left="0" w:right="0" w:firstLine="0"/>
              <w:jc w:val="both"/>
              <w:spacing w:after="0" w:line="283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hint="default" w:ascii="Cambria Math" w:hAnsi="Cambria Math" w:eastAsia="Cambria Math" w:cs="Cambria Math"/>
                      <w:i/>
                      <w:color w:val="000000"/>
                      <w:sz w:val="16"/>
                      <w:highlight w:val="white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  <w:highlight w:val="white"/>
                      </w:rPr>
                      <m:rPr/>
                      <m:t>п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  <w:highlight w:val="white"/>
                      </w:rPr>
                      <m:rPr/>
                      <m:t>s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 – среднегодовая численность граждан, получающих социальные услуги в рамках системы долговременного ухода,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периоде, предшествующем отчетному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;</w:t>
            </w:r>
            <w:r>
              <w:rPr>
                <w:sz w:val="24"/>
                <w:highlight w:val="white"/>
              </w:rPr>
            </w:r>
          </w:p>
          <w:p>
            <w:pPr>
              <w:ind w:left="0" w:right="0" w:firstLine="0"/>
              <w:jc w:val="both"/>
              <w:spacing w:after="0" w:line="283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Среднегодовая численность граждан, получающих социальные услуги в рамках системы долговременного ухода, рассчитывается по формуле:</w:t>
            </w:r>
            <w:r>
              <w:rPr>
                <w:sz w:val="24"/>
              </w:rPr>
            </w:r>
            <w:r/>
          </w:p>
          <w:p>
            <w:pPr>
              <w:ind w:left="0" w:right="0" w:firstLine="0"/>
              <w:jc w:val="center"/>
              <w:spacing w:before="119" w:after="0" w:line="289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color w:val="ffffff" w:themeColor="background1"/>
                        <w:sz w:val="16"/>
                        <w:szCs w:val="16"/>
                      </w:rPr>
                      <m:rPr/>
                      <m:t>о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s</m:t>
                    </m:r>
                  </m:e>
                </m:mr>
              </m:m>
            </m:oMath>
            <w:r>
              <w:t xml:space="preserve"> = </w:t>
            </w:r>
            <m:oMath>
              <m:f>
                <m:fPr>
                  <m:ctrlPr>
                    <w:rPr>
                      <w:rFonts w:hint="default" w:ascii="Cambria Math" w:hAnsi="Cambria Math" w:eastAsia="Cambria Math" w:cs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hint="default" w:ascii="Cambria Math" w:hAnsi="Cambria Math" w:eastAsia="Cambria Math" w:cs="Cambria Math"/>
                      <w:color w:val="000000"/>
                      <w:sz w:val="24"/>
                      <w:szCs w:val="24"/>
                    </w:rPr>
                    <m:rPr/>
                    <m:t>N</m:t>
                  </m:r>
                  <m:m>
                    <m:mPr>
                      <m:baseJc m:val="center"/>
                      <m:cGp/>
                      <m:cGpRule/>
                      <m:cSp/>
                      <m:mcs>
                        <m:mc>
                          <m:mcPr>
                            <m:mcJc m:val="center"/>
                            <m:count m:val="1"/>
                          </m:mcPr>
                        </m:mc>
                      </m:mcs>
                      <m:plcHide m:val="off"/>
                      <m:rSp/>
                      <m:rSpRule/>
                      <m:ctrlPr>
                        <w:rPr>
                          <w:rFonts w:hint="default" w:ascii="Cambria Math" w:hAnsi="Cambria Math" w:eastAsia="Cambria Math" w:cs="Cambria Math"/>
                          <w:i/>
                          <w:color w:val="000000"/>
                          <w:sz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eastAsia="Cambria Math" w:cs="Cambria Math"/>
                            <w:sz w:val="24"/>
                            <w:szCs w:val="24"/>
                          </w:rPr>
                          <m:rPr/>
                          <m:t>н</m:t>
                        </m:r>
                      </m:e>
                    </m:mr>
                    <m:mr>
                      <m:e>
                        <m:r>
                          <w:rPr>
                            <w:rFonts w:hint="default" w:ascii="Cambria Math" w:hAnsi="Cambria Math" w:eastAsia="Cambria Math" w:cs="Cambria Math"/>
                            <w:color w:val="000000"/>
                            <w:sz w:val="24"/>
                            <w:szCs w:val="24"/>
                          </w:rPr>
                          <m:rPr>
                            <m:sty m:val="i"/>
                          </m:rPr>
                          <m:t>s</m:t>
                        </m:r>
                      </m:e>
                    </m:mr>
                  </m:m>
                  <m:r>
                    <w:rPr>
                      <w:rFonts w:ascii="Cambria Math" w:hAnsi="Cambria Math" w:eastAsia="Cambria Math" w:cs="Cambria Math"/>
                      <w:sz w:val="24"/>
                      <w:szCs w:val="24"/>
                    </w:rPr>
                    <m:rPr/>
                    <m:t>+</m:t>
                  </m:r>
                  <m:r>
                    <w:rPr>
                      <w:rFonts w:hint="default" w:ascii="Cambria Math" w:hAnsi="Cambria Math" w:eastAsia="Cambria Math" w:cs="Cambria Math"/>
                      <w:color w:val="000000"/>
                      <w:sz w:val="24"/>
                      <w:szCs w:val="24"/>
                    </w:rPr>
                    <m:rPr/>
                    <m:t>N</m:t>
                  </m:r>
                  <m:m>
                    <m:mPr>
                      <m:baseJc m:val="center"/>
                      <m:cGp/>
                      <m:cGpRule/>
                      <m:cSp/>
                      <m:mcs>
                        <m:mc>
                          <m:mcPr>
                            <m:mcJc m:val="center"/>
                            <m:count m:val="1"/>
                          </m:mcPr>
                        </m:mc>
                      </m:mcs>
                      <m:plcHide m:val="off"/>
                      <m:rSp/>
                      <m:rSpRule/>
                      <m:ctrlPr>
                        <w:rPr>
                          <w:rFonts w:hint="default" w:ascii="Cambria Math" w:hAnsi="Cambria Math" w:eastAsia="Cambria Math" w:cs="Cambria Math"/>
                          <w:i/>
                          <w:color w:val="000000"/>
                          <w:sz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eastAsia="Cambria Math" w:cs="Cambria Math"/>
                            <w:sz w:val="24"/>
                            <w:szCs w:val="24"/>
                          </w:rPr>
                          <m:rPr/>
                          <m:t>к</m:t>
                        </m:r>
                      </m:e>
                    </m:mr>
                    <m:mr>
                      <m:e>
                        <m:r>
                          <w:rPr>
                            <w:rFonts w:hint="default" w:ascii="Cambria Math" w:hAnsi="Cambria Math" w:eastAsia="Cambria Math" w:cs="Cambria Math"/>
                            <w:color w:val="000000"/>
                            <w:sz w:val="24"/>
                            <w:szCs w:val="24"/>
                          </w:rPr>
                          <m:rPr>
                            <m:sty m:val="i"/>
                          </m:rPr>
                          <m:t>s</m:t>
                        </m:r>
                      </m:e>
                    </m:mr>
                  </m:m>
                </m:num>
                <m:den>
                  <m:r>
                    <w:rPr>
                      <w:rFonts w:ascii="Cambria Math" w:hAnsi="Cambria Math" w:eastAsia="Cambria Math" w:cs="Cambria Math"/>
                      <w:sz w:val="24"/>
                      <w:szCs w:val="24"/>
                    </w:rPr>
                    <m:rPr/>
                    <m:t>2</m:t>
                  </m:r>
                </m:den>
              </m:f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ind w:left="0" w:right="0" w:firstLine="0"/>
              <w:jc w:val="both"/>
              <w:spacing w:before="119" w:after="0" w:line="289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где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hint="default"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н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s</m:t>
                    </m:r>
                  </m:e>
                </m:mr>
              </m:m>
            </m:oMath>
            <w: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hint="default"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к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s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– численность граждан, получающих социальные услуги в рамках системы долговременного ухода, на начало и конец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периода, соответственно</w:t>
            </w:r>
            <w:r>
              <w:rPr>
                <w:highlight w:val="white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информационная система Новосибирской области,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государственная информационная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система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Снижение частоты вызовов скорой медицинской помощи к гражданам, получающим социальные услуги в рамках системы долговременного ухода</w:t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Частота выездов скорой медицинской помощи к гражданам, получающим социальные услуги в рамках системы долговременного ухода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Случаев на 100 человек, получающих социальные услуги в рамках системы</w:t>
            </w:r>
            <w:r/>
          </w:p>
          <w:p>
            <w:pPr>
              <w:ind w:left="0" w:right="0" w:firstLine="0"/>
              <w:jc w:val="both"/>
              <w:spacing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долговременного</w:t>
            </w:r>
            <w:r/>
          </w:p>
          <w:p>
            <w:pPr>
              <w:ind w:left="0" w:right="0" w:firstLine="0"/>
              <w:jc w:val="both"/>
              <w:spacing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ухода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83" w:lineRule="atLeast"/>
              <w:rPr>
                <w:sz w:val="16"/>
                <w:szCs w:val="1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4"/>
                  <w:szCs w:val="24"/>
                  <w:highlight w:val="none"/>
                </w:rPr>
                <m:rPr/>
                <m:t>∆</m:t>
              </m:r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m:oMath>
              <m:r>
                <w:rPr>
                  <w:rFonts w:ascii="Cambria Math" w:hAnsi="Cambria Math" w:eastAsia="Cambria Math" w:cs="Cambria Math"/>
                  <w:sz w:val="16"/>
                  <w:szCs w:val="16"/>
                </w:rPr>
                <m:rPr/>
                <m:t>смп</m:t>
              </m:r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 =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hint="default"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о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смп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п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смп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,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left="0" w:right="0" w:firstLine="0"/>
              <w:jc w:val="both"/>
              <w:spacing w:after="119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где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о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смп</m:t>
                    </m:r>
                  </m:e>
                </m:mr>
              </m:m>
            </m:oMath>
            <w:r/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п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смп</m:t>
                    </m:r>
                  </m:e>
                </m:mr>
              </m:m>
            </m:oMath>
            <w:r/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– частота выездов скорой медицинской помощи к гражданам, получающим социальные услуги в рамках системы долговременного ухода в расчете на 100 человек, получающих социальные услуги в рамках системы долговременного ухода, в отчетном периоде и периоде, предше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ствующем отчетному, соответственно;</w:t>
            </w:r>
            <w:r/>
          </w:p>
          <w:p>
            <w:pPr>
              <w:ind w:left="0" w:right="0" w:firstLine="0"/>
              <w:jc w:val="center"/>
              <w:spacing w:before="119" w:after="0" w:line="283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о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смп</m:t>
                    </m:r>
                  </m:e>
                </m:mr>
              </m:m>
            </m:oMath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 = </w:t>
            </w:r>
            <m:oMath>
              <m:f>
                <m:fPr>
                  <m:ctrlPr>
                    <w:rPr>
                      <w:rFonts w:hint="default" w:ascii="Cambria Math" w:hAnsi="Cambria Math" w:eastAsia="Cambria Math" w:cs="Cambria Math"/>
                      <w:i/>
                      <w:color w:val="000000"/>
                      <w:sz w:val="16"/>
                      <w:highlight w:val="none"/>
                    </w:rPr>
                  </m:ctrlPr>
                </m:fPr>
                <m:num>
                  <m:r>
                    <w:rPr>
                      <w:rFonts w:ascii="Cambria Math" w:hAnsi="Cambria Math" w:eastAsia="Cambria Math" w:cs="Cambria Math"/>
                      <w:sz w:val="16"/>
                      <w:szCs w:val="16"/>
                    </w:rPr>
                    <m:rPr/>
                    <m:t>В</m:t>
                  </m:r>
                  <m:m>
                    <m:mPr>
                      <m:baseJc m:val="center"/>
                      <m:cGp/>
                      <m:cGpRule/>
                      <m:cSp/>
                      <m:mcs>
                        <m:mc>
                          <m:mcPr>
                            <m:mcJc m:val="center"/>
                            <m:count m:val="1"/>
                          </m:mcPr>
                        </m:mc>
                      </m:mcs>
                      <m:plcHide m:val="off"/>
                      <m:rSp/>
                      <m:rSpRule/>
                      <m:ctrlPr>
                        <w:rPr>
                          <w:rFonts w:hint="default" w:ascii="Cambria Math" w:hAnsi="Cambria Math" w:eastAsia="Cambria Math" w:cs="Cambria Math"/>
                          <w:i/>
                          <w:color w:val="000000"/>
                          <w:sz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eastAsia="Cambria Math" w:cs="Cambria Math"/>
                            <w:sz w:val="16"/>
                            <w:szCs w:val="16"/>
                          </w:rPr>
                          <m:rPr/>
                          <m:t>о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eastAsia="Cambria Math" w:cs="Cambria Math"/>
                            <w:sz w:val="16"/>
                            <w:szCs w:val="16"/>
                          </w:rPr>
                          <m:rPr/>
                          <m:t>смп</m:t>
                        </m:r>
                      </m:e>
                    </m:mr>
                  </m:m>
                </m:num>
                <m:den>
                  <m:r>
                    <w:rPr>
                      <w:rFonts w:hint="default" w:ascii="Cambria Math" w:hAnsi="Cambria Math" w:eastAsia="Cambria Math" w:cs="Cambria Math"/>
                      <w:color w:val="000000"/>
                      <w:sz w:val="16"/>
                      <w:szCs w:val="16"/>
                    </w:rPr>
                    <m:rPr/>
                    <m:t>N</m:t>
                  </m:r>
                  <m:m>
                    <m:mPr>
                      <m:baseJc m:val="center"/>
                      <m:cGp/>
                      <m:cGpRule/>
                      <m:cSp/>
                      <m:mcs>
                        <m:mc>
                          <m:mcPr>
                            <m:mcJc m:val="center"/>
                            <m:count m:val="1"/>
                          </m:mcPr>
                        </m:mc>
                      </m:mcs>
                      <m:plcHide m:val="off"/>
                      <m:rSp/>
                      <m:rSpRule/>
                      <m:ctrlPr>
                        <w:rPr>
                          <w:rFonts w:hint="default" w:ascii="Cambria Math" w:hAnsi="Cambria Math" w:eastAsia="Cambria Math" w:cs="Cambria Math"/>
                          <w:i/>
                          <w:color w:val="000000"/>
                          <w:sz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eastAsia="Cambria Math" w:cs="Cambria Math"/>
                            <w:sz w:val="16"/>
                            <w:szCs w:val="16"/>
                          </w:rPr>
                          <m:rPr/>
                          <m:t>о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eastAsia="Cambria Math" w:cs="Cambria Math"/>
                            <w:sz w:val="16"/>
                            <w:szCs w:val="16"/>
                          </w:rPr>
                          <m:rPr/>
                          <m:t>s</m:t>
                        </m:r>
                      </m:e>
                    </m:mr>
                  </m:m>
                </m:den>
              </m:f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4"/>
                  <w:szCs w:val="24"/>
                  <w:highlight w:val="none"/>
                </w:rPr>
                <m:rPr/>
                <m:t>×</m:t>
              </m:r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100,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ind w:left="0" w:right="0" w:firstLine="0"/>
              <w:jc w:val="both"/>
              <w:spacing w:before="119" w:after="0" w:line="283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где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hint="default"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о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смп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– количество выездов скорой медицинской помощи к гражданам, получающим социальные услуги в рамках системы долговременного ухода,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в отчетном периоде;</w:t>
            </w:r>
            <w:r>
              <w:rPr>
                <w:highlight w:val="white"/>
              </w:rPr>
            </w:r>
          </w:p>
          <w:p>
            <w:pPr>
              <w:ind w:left="0" w:right="0" w:firstLine="0"/>
              <w:jc w:val="both"/>
              <w:spacing w:after="0" w:line="283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hint="default" w:ascii="Cambria Math" w:hAnsi="Cambria Math" w:eastAsia="Cambria Math" w:cs="Cambria Math"/>
                      <w:i/>
                      <w:color w:val="000000"/>
                      <w:sz w:val="16"/>
                      <w:highlight w:val="white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  <w:highlight w:val="white"/>
                      </w:rPr>
                      <m:rPr/>
                      <m:t>о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  <w:highlight w:val="white"/>
                      </w:rPr>
                      <m:rPr/>
                      <m:t>s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highlight w:val="white"/>
              </w:rPr>
              <w:t xml:space="preserve"> –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 среднегодовая численность граждан, получающих социальные услуги в рамках системы долговременного ухода,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в отчетном периоде;</w:t>
            </w:r>
            <w:r>
              <w:rPr>
                <w:highlight w:val="white"/>
              </w:rPr>
            </w:r>
          </w:p>
          <w:p>
            <w:pPr>
              <w:ind w:left="0" w:right="0" w:firstLine="0"/>
              <w:jc w:val="center"/>
              <w:spacing w:before="119" w:after="0" w:line="283" w:lineRule="atLeast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hint="default" w:ascii="Cambria Math" w:hAnsi="Cambria Math" w:eastAsia="Cambria Math" w:cs="Cambria Math"/>
                      <w:i/>
                      <w:color w:val="000000"/>
                      <w:sz w:val="16"/>
                      <w:highlight w:val="white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  <w:highlight w:val="white"/>
                      </w:rPr>
                      <m:rPr/>
                      <m:t>п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  <w:highlight w:val="white"/>
                      </w:rPr>
                      <m:rPr/>
                      <m:t>смп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 = </w:t>
            </w:r>
            <m:oMath>
              <m:f>
                <m:fPr>
                  <m:ctrlPr>
                    <w:rPr>
                      <w:rFonts w:hint="default" w:ascii="Cambria Math" w:hAnsi="Cambria Math" w:eastAsia="Cambria Math" w:cs="Cambria Math"/>
                      <w:i/>
                      <w:color w:val="000000"/>
                      <w:sz w:val="16"/>
                      <w:highlight w:val="white"/>
                    </w:rPr>
                  </m:ctrlPr>
                </m:fPr>
                <m:num>
                  <m:r>
                    <w:rPr>
                      <w:rFonts w:ascii="Cambria Math" w:hAnsi="Cambria Math" w:eastAsia="Cambria Math" w:cs="Cambria Math"/>
                      <w:sz w:val="16"/>
                      <w:szCs w:val="16"/>
                      <w:highlight w:val="white"/>
                    </w:rPr>
                    <m:rPr/>
                    <m:t>В</m:t>
                  </m:r>
                  <m:m>
                    <m:mPr>
                      <m:baseJc m:val="center"/>
                      <m:cGp/>
                      <m:cGpRule/>
                      <m:cSp/>
                      <m:mcs>
                        <m:mc>
                          <m:mcPr>
                            <m:mcJc m:val="center"/>
                            <m:count m:val="1"/>
                          </m:mcPr>
                        </m:mc>
                      </m:mcs>
                      <m:plcHide m:val="off"/>
                      <m:rSp/>
                      <m:rSpRule/>
                      <m:ctrlPr>
                        <w:rPr>
                          <w:rFonts w:hint="default" w:ascii="Cambria Math" w:hAnsi="Cambria Math" w:eastAsia="Cambria Math" w:cs="Cambria Math"/>
                          <w:i/>
                          <w:color w:val="000000"/>
                          <w:sz w:val="16"/>
                          <w:highlight w:val="white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eastAsia="Cambria Math" w:cs="Cambria Math"/>
                            <w:sz w:val="16"/>
                            <w:szCs w:val="16"/>
                            <w:highlight w:val="white"/>
                          </w:rPr>
                          <m:rPr/>
                          <m:t>п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eastAsia="Cambria Math" w:cs="Cambria Math"/>
                            <w:sz w:val="16"/>
                            <w:szCs w:val="16"/>
                            <w:highlight w:val="white"/>
                          </w:rPr>
                          <m:rPr/>
                          <m:t>смп</m:t>
                        </m:r>
                      </m:e>
                    </m:mr>
                  </m:m>
                </m:num>
                <m:den>
                  <m:r>
                    <w:rPr>
                      <w:rFonts w:hint="default" w:ascii="Cambria Math" w:hAnsi="Cambria Math" w:eastAsia="Cambria Math" w:cs="Cambria Math"/>
                      <w:color w:val="000000"/>
                      <w:sz w:val="16"/>
                      <w:szCs w:val="16"/>
                      <w:highlight w:val="white"/>
                    </w:rPr>
                    <m:rPr/>
                    <m:t>N</m:t>
                  </m:r>
                  <m:m>
                    <m:mPr>
                      <m:baseJc m:val="center"/>
                      <m:cGp/>
                      <m:cGpRule/>
                      <m:cSp/>
                      <m:mcs>
                        <m:mc>
                          <m:mcPr>
                            <m:mcJc m:val="center"/>
                            <m:count m:val="1"/>
                          </m:mcPr>
                        </m:mc>
                      </m:mcs>
                      <m:plcHide m:val="off"/>
                      <m:rSp/>
                      <m:rSpRule/>
                      <m:ctrlPr>
                        <w:rPr>
                          <w:rFonts w:hint="default" w:ascii="Cambria Math" w:hAnsi="Cambria Math" w:eastAsia="Cambria Math" w:cs="Cambria Math"/>
                          <w:i/>
                          <w:color w:val="000000"/>
                          <w:sz w:val="16"/>
                          <w:highlight w:val="white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eastAsia="Cambria Math" w:cs="Cambria Math"/>
                            <w:sz w:val="16"/>
                            <w:szCs w:val="16"/>
                            <w:highlight w:val="white"/>
                          </w:rPr>
                          <m:rPr/>
                          <m:t>п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eastAsia="Cambria Math" w:cs="Cambria Math"/>
                            <w:sz w:val="16"/>
                            <w:szCs w:val="16"/>
                            <w:highlight w:val="white"/>
                          </w:rPr>
                          <m:rPr/>
                          <m:t>s</m:t>
                        </m:r>
                      </m:e>
                    </m:mr>
                  </m:m>
                </m:den>
              </m:f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</w:r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4"/>
                  <w:szCs w:val="24"/>
                  <w:highlight w:val="white"/>
                </w:rPr>
                <m:rPr/>
                <m:t>×</m:t>
              </m:r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100,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both"/>
              <w:spacing w:after="181" w:line="238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highlight w:val="white"/>
              </w:rPr>
            </w:r>
          </w:p>
          <w:p>
            <w:pPr>
              <w:ind w:left="0" w:right="0" w:firstLine="0"/>
              <w:jc w:val="both"/>
              <w:spacing w:before="181" w:after="0" w:line="283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где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hint="default" w:ascii="Cambria Math" w:hAnsi="Cambria Math" w:eastAsia="Cambria Math" w:cs="Cambria Math"/>
                      <w:i/>
                      <w:color w:val="000000"/>
                      <w:sz w:val="16"/>
                      <w:highlight w:val="white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  <w:highlight w:val="white"/>
                      </w:rPr>
                      <m:rPr/>
                      <m:t>п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  <w:highlight w:val="white"/>
                      </w:rPr>
                      <m:rPr/>
                      <m:t>смп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 – количество выездов скорой медицинской помощи к гражданам, получающим социальные услуги в рамках системы долговременного ухода, 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 периоде, предшествующем отчетному;</w:t>
            </w:r>
            <w:r>
              <w:rPr>
                <w:highlight w:val="white"/>
              </w:rPr>
            </w:r>
          </w:p>
          <w:p>
            <w:pPr>
              <w:ind w:left="0" w:right="0" w:firstLine="0"/>
              <w:jc w:val="both"/>
              <w:spacing w:after="0" w:line="283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hint="default" w:ascii="Cambria Math" w:hAnsi="Cambria Math" w:eastAsia="Cambria Math" w:cs="Cambria Math"/>
                      <w:i/>
                      <w:color w:val="000000"/>
                      <w:sz w:val="16"/>
                      <w:highlight w:val="white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  <w:highlight w:val="white"/>
                      </w:rPr>
                      <m:rPr/>
                      <m:t>п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  <w:highlight w:val="white"/>
                      </w:rPr>
                      <m:rPr/>
                      <m:t>s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highlight w:val="white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среднегодовая численность граждан, получающих социальные услуги в рамках системы долговременного ухода,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в периоде, предшествующем отчетному.</w:t>
            </w:r>
            <w:r>
              <w:rPr>
                <w:sz w:val="24"/>
                <w:highlight w:val="white"/>
              </w:rPr>
            </w:r>
          </w:p>
          <w:p>
            <w:pPr>
              <w:ind w:left="0" w:right="0" w:firstLine="0"/>
              <w:jc w:val="both"/>
              <w:spacing w:after="0" w:line="283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Среднегодовая численность граждан, получающих социальные услуги в рамках системы долговременного ухода, рассчитывае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тся по формуле, приведенной в пункте 1 настоящего приложения</w:t>
            </w:r>
            <w:r/>
            <w:r/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информационная система Новосибирской области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государственная информационная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система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Снижение частоты обращений за первичной медико-санитарной помощью граждан, получающих социальные услуги в рамках системы</w:t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долговременного ухода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Частота обращений за первичной медико-санитарной помощью граждан, получающих социальные услуги в рамках системы долговременного ухода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Случаев на 100 человек, получающих социальные услуги в рамках системы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долговременного</w:t>
            </w:r>
            <w:r/>
            <w:r>
              <w:rPr>
                <w:sz w:val="24"/>
              </w:rPr>
            </w:r>
          </w:p>
          <w:p>
            <w:pPr>
              <w:ind w:left="0" w:right="0" w:firstLine="0"/>
              <w:jc w:val="both"/>
              <w:spacing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ухода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83" w:lineRule="atLeast"/>
              <w:rPr>
                <w:sz w:val="16"/>
                <w:szCs w:val="1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4"/>
                  <w:szCs w:val="24"/>
                  <w:highlight w:val="none"/>
                </w:rPr>
                <m:rPr/>
                <m:t>∆</m:t>
              </m:r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m:oMath>
              <m:r>
                <w:rPr>
                  <w:rFonts w:ascii="Cambria Math" w:hAnsi="Cambria Math" w:eastAsia="Cambria Math" w:cs="Cambria Math"/>
                  <w:sz w:val="16"/>
                  <w:szCs w:val="16"/>
                </w:rPr>
                <m:rPr/>
                <m:t>п</m:t>
              </m:r>
              <m:r>
                <w:rPr>
                  <w:rFonts w:ascii="Cambria Math" w:hAnsi="Cambria Math" w:eastAsia="Cambria Math" w:cs="Cambria Math"/>
                  <w:sz w:val="16"/>
                  <w:szCs w:val="16"/>
                </w:rPr>
                <m:rPr/>
                <m:t>мс</m:t>
              </m:r>
              <m:r>
                <w:rPr>
                  <w:rFonts w:ascii="Cambria Math" w:hAnsi="Cambria Math" w:eastAsia="Cambria Math" w:cs="Cambria Math"/>
                  <w:sz w:val="16"/>
                  <w:szCs w:val="16"/>
                </w:rPr>
                <m:rPr/>
                <m:t>п</m:t>
              </m:r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 =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hint="default"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о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п</m:t>
                    </m:r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мс</m:t>
                    </m:r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п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hint="default"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п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п</m:t>
                    </m:r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мс</m:t>
                    </m:r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п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,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left="0" w:right="0" w:firstLine="0"/>
              <w:jc w:val="both"/>
              <w:spacing w:after="0" w:line="283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где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hint="default"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о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п</m:t>
                    </m:r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мс</m:t>
                    </m:r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п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hint="default"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п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п</m:t>
                    </m:r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мс</m:t>
                    </m:r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п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– частота обращений за первичной медико-санитарной помощью граждан, получающих социальные услуги в рамках системы долговременного ухода, в расчете на 100 человек, получающих социальные услуги в рамках системы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долговременного ухода, в отчетном периоде и периоде, предшествующем отчетному, соответственно;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center"/>
              <w:spacing w:after="96" w:line="23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hint="default"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о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п</m:t>
                    </m:r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мс</m:t>
                    </m:r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п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 = </w:t>
            </w:r>
            <m:oMath>
              <m:f>
                <m:fPr>
                  <m:ctrlPr>
                    <w:rPr>
                      <w:rFonts w:hint="default" w:ascii="Cambria Math" w:hAnsi="Cambria Math" w:eastAsia="Cambria Math" w:cs="Cambria Math"/>
                      <w:i/>
                      <w:color w:val="000000"/>
                      <w:sz w:val="16"/>
                      <w:highlight w:val="none"/>
                    </w:rPr>
                  </m:ctrlPr>
                </m:fPr>
                <m:num>
                  <m:r>
                    <w:rPr>
                      <w:rFonts w:ascii="Cambria Math" w:hAnsi="Cambria Math" w:eastAsia="Cambria Math" w:cs="Cambria Math"/>
                      <w:sz w:val="16"/>
                      <w:szCs w:val="16"/>
                    </w:rPr>
                    <m:rPr/>
                    <m:t>О</m:t>
                  </m:r>
                  <m:m>
                    <m:mPr>
                      <m:baseJc m:val="center"/>
                      <m:cGp/>
                      <m:cGpRule/>
                      <m:cSp/>
                      <m:mcs>
                        <m:mc>
                          <m:mcPr>
                            <m:mcJc m:val="center"/>
                            <m:count m:val="1"/>
                          </m:mcPr>
                        </m:mc>
                      </m:mcs>
                      <m:plcHide m:val="off"/>
                      <m:rSp/>
                      <m:rSpRule/>
                      <m:ctrlPr>
                        <w:rPr>
                          <w:rFonts w:hint="default" w:ascii="Cambria Math" w:hAnsi="Cambria Math" w:eastAsia="Cambria Math" w:cs="Cambria Math"/>
                          <w:i/>
                          <w:color w:val="000000"/>
                          <w:sz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eastAsia="Cambria Math" w:cs="Cambria Math"/>
                            <w:sz w:val="16"/>
                            <w:szCs w:val="16"/>
                          </w:rPr>
                          <m:rPr/>
                          <m:t>о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eastAsia="Cambria Math" w:cs="Cambria Math"/>
                            <w:sz w:val="16"/>
                            <w:szCs w:val="16"/>
                          </w:rPr>
                          <m:rPr/>
                          <m:t>п</m:t>
                        </m:r>
                        <m:r>
                          <w:rPr>
                            <w:rFonts w:ascii="Cambria Math" w:hAnsi="Cambria Math" w:eastAsia="Cambria Math" w:cs="Cambria Math"/>
                            <w:sz w:val="16"/>
                            <w:szCs w:val="16"/>
                          </w:rPr>
                          <m:rPr/>
                          <m:t>мс</m:t>
                        </m:r>
                        <m:r>
                          <w:rPr>
                            <w:rFonts w:ascii="Cambria Math" w:hAnsi="Cambria Math" w:eastAsia="Cambria Math" w:cs="Cambria Math"/>
                            <w:sz w:val="16"/>
                            <w:szCs w:val="16"/>
                          </w:rPr>
                          <m:rPr/>
                          <m:t>п</m:t>
                        </m:r>
                      </m:e>
                    </m:mr>
                  </m:m>
                </m:num>
                <m:den>
                  <m:r>
                    <w:rPr>
                      <w:rFonts w:hint="default" w:ascii="Cambria Math" w:hAnsi="Cambria Math" w:eastAsia="Cambria Math" w:cs="Cambria Math"/>
                      <w:color w:val="000000"/>
                      <w:sz w:val="16"/>
                      <w:szCs w:val="16"/>
                    </w:rPr>
                    <m:rPr/>
                    <m:t>N</m:t>
                  </m:r>
                  <m:m>
                    <m:mPr>
                      <m:baseJc m:val="center"/>
                      <m:cGp/>
                      <m:cGpRule/>
                      <m:cSp/>
                      <m:mcs>
                        <m:mc>
                          <m:mcPr>
                            <m:mcJc m:val="center"/>
                            <m:count m:val="1"/>
                          </m:mcPr>
                        </m:mc>
                      </m:mcs>
                      <m:plcHide m:val="off"/>
                      <m:rSp/>
                      <m:rSpRule/>
                      <m:ctrlPr>
                        <w:rPr>
                          <w:rFonts w:hint="default" w:ascii="Cambria Math" w:hAnsi="Cambria Math" w:eastAsia="Cambria Math" w:cs="Cambria Math"/>
                          <w:i/>
                          <w:color w:val="000000"/>
                          <w:sz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eastAsia="Cambria Math" w:cs="Cambria Math"/>
                            <w:sz w:val="16"/>
                            <w:szCs w:val="16"/>
                          </w:rPr>
                          <m:rPr/>
                          <m:t>о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eastAsia="Cambria Math" w:cs="Cambria Math"/>
                            <w:sz w:val="16"/>
                            <w:szCs w:val="16"/>
                          </w:rPr>
                          <m:rPr/>
                          <m:t>s</m:t>
                        </m:r>
                      </m:e>
                    </m:mr>
                  </m:m>
                </m:den>
              </m:f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4"/>
                  <w:szCs w:val="24"/>
                  <w:highlight w:val="none"/>
                </w:rPr>
                <m:rPr/>
                <m:t>×</m:t>
              </m:r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100,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ind w:left="0" w:right="0" w:firstLine="0"/>
              <w:jc w:val="both"/>
              <w:spacing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где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о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п</m:t>
                    </m:r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мс</m:t>
                    </m:r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п</m:t>
                    </m:r>
                  </m:e>
                </m:mr>
              </m:m>
            </m:oMath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– количество обращений за первичной медико-санитарной помощью граждан, получающих социальные услуги в рамках системы долговременного ухода, в отчетном периоде;</w:t>
            </w:r>
            <w:r/>
          </w:p>
          <w:p>
            <w:pPr>
              <w:ind w:left="0" w:right="0" w:firstLine="0"/>
              <w:jc w:val="both"/>
              <w:spacing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hint="default" w:ascii="Cambria Math" w:hAnsi="Cambria Math" w:eastAsia="Cambria Math" w:cs="Cambria Math"/>
                      <w:i/>
                      <w:color w:val="000000"/>
                      <w:sz w:val="16"/>
                      <w:highlight w:val="white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  <w:highlight w:val="white"/>
                      </w:rPr>
                      <m:rPr/>
                      <m:t>о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  <w:highlight w:val="white"/>
                      </w:rPr>
                      <m:rPr/>
                      <m:t>s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 –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среднегодовая численность граждан, получающих социальные услуги в рамках системы долговременного ухода, в отчетном периоде;</w:t>
            </w:r>
            <w:r/>
          </w:p>
          <w:p>
            <w:pPr>
              <w:ind w:left="0" w:right="0" w:firstLine="0"/>
              <w:jc w:val="center"/>
              <w:spacing w:after="0" w:line="283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hint="default"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п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п</m:t>
                    </m:r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мс</m:t>
                    </m:r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п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 = </w:t>
            </w:r>
            <m:oMath>
              <m:f>
                <m:fPr>
                  <m:ctrlPr>
                    <w:rPr>
                      <w:rFonts w:hint="default" w:ascii="Cambria Math" w:hAnsi="Cambria Math" w:eastAsia="Cambria Math" w:cs="Cambria Math"/>
                      <w:i/>
                      <w:color w:val="000000"/>
                      <w:sz w:val="16"/>
                      <w:highlight w:val="none"/>
                    </w:rPr>
                  </m:ctrlPr>
                </m:fPr>
                <m:num>
                  <m:r>
                    <w:rPr>
                      <w:rFonts w:ascii="Cambria Math" w:hAnsi="Cambria Math" w:eastAsia="Cambria Math" w:cs="Cambria Math"/>
                      <w:sz w:val="16"/>
                      <w:szCs w:val="16"/>
                    </w:rPr>
                    <m:rPr/>
                    <m:t>О</m:t>
                  </m:r>
                  <m:m>
                    <m:mPr>
                      <m:baseJc m:val="center"/>
                      <m:cGp/>
                      <m:cGpRule/>
                      <m:cSp/>
                      <m:mcs>
                        <m:mc>
                          <m:mcPr>
                            <m:mcJc m:val="center"/>
                            <m:count m:val="1"/>
                          </m:mcPr>
                        </m:mc>
                      </m:mcs>
                      <m:plcHide m:val="off"/>
                      <m:rSp/>
                      <m:rSpRule/>
                      <m:ctrlPr>
                        <w:rPr>
                          <w:rFonts w:hint="default" w:ascii="Cambria Math" w:hAnsi="Cambria Math" w:eastAsia="Cambria Math" w:cs="Cambria Math"/>
                          <w:i/>
                          <w:color w:val="000000"/>
                          <w:sz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eastAsia="Cambria Math" w:cs="Cambria Math"/>
                            <w:sz w:val="16"/>
                            <w:szCs w:val="16"/>
                          </w:rPr>
                          <m:rPr/>
                          <m:t>п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eastAsia="Cambria Math" w:cs="Cambria Math"/>
                            <w:sz w:val="16"/>
                            <w:szCs w:val="16"/>
                          </w:rPr>
                          <m:rPr/>
                          <m:t>п</m:t>
                        </m:r>
                        <m:r>
                          <w:rPr>
                            <w:rFonts w:ascii="Cambria Math" w:hAnsi="Cambria Math" w:eastAsia="Cambria Math" w:cs="Cambria Math"/>
                            <w:sz w:val="16"/>
                            <w:szCs w:val="16"/>
                          </w:rPr>
                          <m:rPr/>
                          <m:t>мс</m:t>
                        </m:r>
                        <m:r>
                          <w:rPr>
                            <w:rFonts w:ascii="Cambria Math" w:hAnsi="Cambria Math" w:eastAsia="Cambria Math" w:cs="Cambria Math"/>
                            <w:sz w:val="16"/>
                            <w:szCs w:val="16"/>
                          </w:rPr>
                          <m:rPr/>
                          <m:t>п</m:t>
                        </m:r>
                      </m:e>
                    </m:mr>
                  </m:m>
                </m:num>
                <m:den>
                  <m:r>
                    <w:rPr>
                      <w:rFonts w:hint="default" w:ascii="Cambria Math" w:hAnsi="Cambria Math" w:eastAsia="Cambria Math" w:cs="Cambria Math"/>
                      <w:color w:val="000000"/>
                      <w:sz w:val="16"/>
                      <w:szCs w:val="16"/>
                    </w:rPr>
                    <m:rPr/>
                    <m:t>N</m:t>
                  </m:r>
                  <m:m>
                    <m:mPr>
                      <m:baseJc m:val="center"/>
                      <m:cGp/>
                      <m:cGpRule/>
                      <m:cSp/>
                      <m:mcs>
                        <m:mc>
                          <m:mcPr>
                            <m:mcJc m:val="center"/>
                            <m:count m:val="1"/>
                          </m:mcPr>
                        </m:mc>
                      </m:mcs>
                      <m:plcHide m:val="off"/>
                      <m:rSp/>
                      <m:rSpRule/>
                      <m:ctrlPr>
                        <w:rPr>
                          <w:rFonts w:hint="default" w:ascii="Cambria Math" w:hAnsi="Cambria Math" w:eastAsia="Cambria Math" w:cs="Cambria Math"/>
                          <w:i/>
                          <w:color w:val="000000"/>
                          <w:sz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eastAsia="Cambria Math" w:cs="Cambria Math"/>
                            <w:sz w:val="16"/>
                            <w:szCs w:val="16"/>
                          </w:rPr>
                          <m:rPr/>
                          <m:t>п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eastAsia="Cambria Math" w:cs="Cambria Math"/>
                            <w:sz w:val="16"/>
                            <w:szCs w:val="16"/>
                          </w:rPr>
                          <m:rPr/>
                          <m:t>s</m:t>
                        </m:r>
                      </m:e>
                    </m:mr>
                  </m:m>
                </m:den>
              </m:f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4"/>
                  <w:szCs w:val="24"/>
                  <w:highlight w:val="none"/>
                </w:rPr>
                <m:rPr/>
                <m:t>×</m:t>
              </m:r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100,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83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где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hint="default"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п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п</m:t>
                    </m:r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мс</m:t>
                    </m:r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п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– количество обращений за первичной медико-санитарной помощью граждан, получающих социальные услуги в рамках системы долговременного ухода в периоде, предшествующем отчетному;</w:t>
            </w:r>
            <w:r/>
          </w:p>
          <w:p>
            <w:pPr>
              <w:ind w:left="0" w:right="0" w:firstLine="0"/>
              <w:jc w:val="both"/>
              <w:spacing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hint="default" w:ascii="Cambria Math" w:hAnsi="Cambria Math" w:eastAsia="Cambria Math" w:cs="Cambria Math"/>
                      <w:i/>
                      <w:color w:val="000000"/>
                      <w:sz w:val="16"/>
                      <w:highlight w:val="white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п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  <w:highlight w:val="white"/>
                      </w:rPr>
                      <m:rPr/>
                      <m:t>s</m:t>
                    </m:r>
                  </m:e>
                </m:mr>
              </m:m>
            </m:oMath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– среднегодовая численность граждан, получающих социальные услуги в рамках системы долговременного ухода, в периоде, предшествующем отчетному.</w:t>
            </w:r>
            <w:r/>
          </w:p>
          <w:p>
            <w:pPr>
              <w:ind w:left="0" w:right="0" w:firstLine="0"/>
              <w:jc w:val="both"/>
              <w:spacing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Среднегодовая численность граждан, получающих социальные услуги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u w:val="none"/>
              </w:rPr>
              <w:t xml:space="preserve">в рамках системы долговременного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ухода, рассчитывается по формуле, приведенной в пункте 1 настоящего приложения</w:t>
            </w:r>
            <w:r/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информационная система Новосибирской области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государственная информационная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система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83"/>
        </w:trPr>
        <w:tc>
          <w:tcPr>
            <w:gridSpan w:val="6"/>
            <w:tcW w:w="1470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Социально-экономические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эффективности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Рост численности занятых за счет создания новых рабочих мест помощников по уходу в системе долговременного ухода в организациях социального обслуживания Новосибирской области</w:t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Численность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граждан,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трудоустроенных помощниками по уходу на новых рабочих местах в организациях социального обслуживания, в том числе в государственных и негосударственных организациях социального обслуживания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3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Человек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83" w:lineRule="atLeast"/>
              <w:rPr>
                <w:sz w:val="16"/>
                <w:szCs w:val="1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4"/>
                  <w:szCs w:val="24"/>
                  <w:highlight w:val="none"/>
                </w:rPr>
                <m:rPr/>
                <m:t>∆</m:t>
              </m:r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= </w:t>
            </w:r>
            <w:r/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4"/>
                  <w:szCs w:val="24"/>
                  <w:highlight w:val="none"/>
                </w:rPr>
                <m:rPr/>
                <m:t>∆</m:t>
              </m:r>
            </m:oMath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color w:val="ffffff" w:themeColor="background1"/>
                        <w:sz w:val="16"/>
                        <w:szCs w:val="16"/>
                      </w:rPr>
                      <m:rPr/>
                      <m:t>о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г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 – </w:t>
            </w:r>
            <w:r/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4"/>
                  <w:szCs w:val="24"/>
                  <w:highlight w:val="none"/>
                </w:rPr>
                <m:rPr/>
                <m:t>∆</m:t>
              </m:r>
            </m:oMath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hint="default"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color w:val="ffffff" w:themeColor="background1"/>
                        <w:sz w:val="16"/>
                        <w:szCs w:val="16"/>
                      </w:rPr>
                      <m:rPr/>
                      <m:t>п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н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,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  <w:r>
              <w:rPr>
                <w:sz w:val="16"/>
                <w:szCs w:val="16"/>
              </w:rPr>
            </w:r>
          </w:p>
          <w:p>
            <w:pPr>
              <w:ind w:left="0" w:right="0" w:firstLine="0"/>
              <w:jc w:val="both"/>
              <w:spacing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где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/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4"/>
                  <w:szCs w:val="24"/>
                  <w:highlight w:val="none"/>
                </w:rPr>
                <m:rPr/>
                <m:t>∆</m:t>
              </m:r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color w:val="ffffff" w:themeColor="background1"/>
                        <w:sz w:val="16"/>
                        <w:szCs w:val="16"/>
                      </w:rPr>
                      <m:rPr/>
                      <m:t>о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г</m:t>
                    </m:r>
                  </m:e>
                </m:mr>
              </m:m>
            </m:oMath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 </w:t>
            </w:r>
            <w:r/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4"/>
                  <w:szCs w:val="24"/>
                  <w:highlight w:val="none"/>
                </w:rPr>
                <m:rPr/>
                <m:t>∆</m:t>
              </m:r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color w:val="ffffff" w:themeColor="background1"/>
                        <w:sz w:val="16"/>
                        <w:szCs w:val="16"/>
                      </w:rPr>
                      <m:rPr/>
                      <m:t>п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н</m:t>
                    </m:r>
                  </m:e>
                </m:mr>
              </m:m>
            </m:oMath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– прирост численности граждан, трудоустроенных помощниками по уходу на новых рабочих местах в государственных и негосударственных организациях социального обслуживания, соответственно;</w:t>
            </w:r>
            <w:r/>
          </w:p>
          <w:p>
            <w:pPr>
              <w:ind w:left="0" w:right="0" w:firstLine="0"/>
              <w:jc w:val="center"/>
              <w:spacing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4"/>
                  <w:szCs w:val="24"/>
                  <w:highlight w:val="none"/>
                </w:rPr>
                <m:rPr/>
                <m:t>∆</m:t>
              </m:r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color w:val="ffffff" w:themeColor="background1"/>
                        <w:sz w:val="16"/>
                        <w:szCs w:val="16"/>
                      </w:rPr>
                      <m:rPr/>
                      <m:t>о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г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=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hint="default" w:ascii="Cambria Math" w:hAnsi="Cambria Math" w:eastAsia="Cambria Math" w:cs="Cambria Math"/>
                      <w:i/>
                      <w:color w:val="000000" w:themeColor="text1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color w:val="000000" w:themeColor="text1"/>
                        <w:sz w:val="16"/>
                        <w:szCs w:val="16"/>
                      </w:rPr>
                      <m:rPr/>
                      <m:t>о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color w:val="000000" w:themeColor="text1"/>
                        <w:sz w:val="16"/>
                        <w:szCs w:val="16"/>
                      </w:rPr>
                      <m:rPr/>
                      <m:t>г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hint="default" w:ascii="Cambria Math" w:hAnsi="Cambria Math" w:eastAsia="Cambria Math" w:cs="Cambria Math"/>
                      <w:i/>
                      <w:color w:val="000000" w:themeColor="text1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color w:val="000000" w:themeColor="text1"/>
                        <w:sz w:val="16"/>
                        <w:szCs w:val="16"/>
                      </w:rPr>
                      <m:rPr/>
                      <m:t>п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</w:rPr>
                      <m:rPr/>
                      <m:t>г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ind w:left="0" w:right="0" w:firstLine="0"/>
              <w:jc w:val="both"/>
              <w:spacing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где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ascii="Cambria Math" w:hAnsi="Cambria Math" w:eastAsia="Cambria Math" w:cs="Cambria Math"/>
                      <w:i/>
                      <w:color w:val="000000" w:themeColor="text1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color w:val="000000" w:themeColor="text1"/>
                        <w:sz w:val="16"/>
                        <w:szCs w:val="16"/>
                      </w:rPr>
                      <m:rPr/>
                      <m:t>о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color w:val="000000" w:themeColor="text1"/>
                        <w:sz w:val="16"/>
                        <w:szCs w:val="16"/>
                      </w:rPr>
                      <m:rPr/>
                      <m:t>г</m:t>
                    </m:r>
                  </m:e>
                </m:mr>
              </m:m>
            </m:oMath>
            <w:r/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 –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численность граждан, трудоустроенных помощниками по уходу на новых рабочих местах в отчетном периоде в государственных организациях социального обслуживания;</w:t>
            </w:r>
            <w:r/>
          </w:p>
          <w:p>
            <w:pPr>
              <w:ind w:left="0" w:right="0" w:firstLine="0"/>
              <w:jc w:val="both"/>
              <w:spacing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ascii="Cambria Math" w:hAnsi="Cambria Math" w:eastAsia="Cambria Math" w:cs="Cambria Math"/>
                      <w:i/>
                      <w:color w:val="000000" w:themeColor="text1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color w:val="000000" w:themeColor="text1"/>
                        <w:sz w:val="16"/>
                        <w:szCs w:val="16"/>
                      </w:rPr>
                      <m:rPr/>
                      <m:t>п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</w:rPr>
                      <m:rPr/>
                      <m:t>г</m:t>
                    </m:r>
                  </m:e>
                </m:mr>
              </m:m>
            </m:oMath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– численность граждан, трудоустроенных помощниками по уходу на новых рабочих местах в периоде, предшествующем отчетному, в государственных организациях социального обслуживания;</w:t>
            </w:r>
            <w:r/>
          </w:p>
          <w:p>
            <w:pPr>
              <w:ind w:left="0" w:right="0" w:firstLine="0"/>
              <w:jc w:val="center"/>
              <w:spacing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4"/>
                  <w:szCs w:val="24"/>
                  <w:highlight w:val="none"/>
                </w:rPr>
                <m:rPr/>
                <m:t>∆</m:t>
              </m:r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hint="default"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color w:val="ffffff" w:themeColor="background1"/>
                        <w:sz w:val="16"/>
                        <w:szCs w:val="16"/>
                      </w:rPr>
                      <m:rPr/>
                      <m:t>о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н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=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hint="default" w:ascii="Cambria Math" w:hAnsi="Cambria Math" w:eastAsia="Cambria Math" w:cs="Cambria Math"/>
                      <w:i/>
                      <w:color w:val="000000" w:themeColor="text1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color w:val="000000" w:themeColor="text1"/>
                        <w:sz w:val="16"/>
                        <w:szCs w:val="16"/>
                      </w:rPr>
                      <m:rPr/>
                      <m:t>о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н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hint="default" w:ascii="Cambria Math" w:hAnsi="Cambria Math" w:eastAsia="Cambria Math" w:cs="Cambria Math"/>
                      <w:i/>
                      <w:color w:val="000000" w:themeColor="text1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color w:val="000000" w:themeColor="text1"/>
                        <w:sz w:val="16"/>
                        <w:szCs w:val="16"/>
                      </w:rPr>
                      <m:rPr/>
                      <m:t>п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н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,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ind w:left="0" w:right="0" w:firstLine="0"/>
              <w:jc w:val="both"/>
              <w:spacing w:after="0" w:line="283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где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ascii="Cambria Math" w:hAnsi="Cambria Math" w:eastAsia="Cambria Math" w:cs="Cambria Math"/>
                      <w:i/>
                      <w:color w:val="000000" w:themeColor="text1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color w:val="000000" w:themeColor="text1"/>
                        <w:sz w:val="16"/>
                        <w:szCs w:val="16"/>
                      </w:rPr>
                      <m:rPr/>
                      <m:t>о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н</m:t>
                    </m:r>
                  </m:e>
                </m:mr>
              </m:m>
            </m:oMath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численность граждан, трудоустроенных помощниками по уходу на новых рабочих местах в отчетном периоде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негосударственных организациях социального обслуживания;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89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ascii="Cambria Math" w:hAnsi="Cambria Math" w:eastAsia="Cambria Math" w:cs="Cambria Math"/>
                      <w:i/>
                      <w:color w:val="000000" w:themeColor="text1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color w:val="000000" w:themeColor="text1"/>
                        <w:sz w:val="16"/>
                        <w:szCs w:val="16"/>
                      </w:rPr>
                      <m:rPr/>
                      <m:t>п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н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– численность граждан, трудоустроенных помощниками по уходу на новых рабочих местах в периоде, предшествующем отчетному, в негосударственных организациях социального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функционирования системы долговременного ухода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гражданами пожилого возраста и инвалидами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нуждающимися в уходе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осуществляемый региональным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координационным центром в соответствии с приказом министерства труда и социального развития Новосибирской области от 31.05.2023 № 788-НПА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мониторинга функционирования системы долговременного ухода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гражданами пожилого возраста и инвалидами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нуждающимися в уходе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осуществляемого региональным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координационным центром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(далее – Мониторинг СДУ)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Рост численности родственников, других лиц, осуществляющих уход за гражданами, нуждающимися в уходе, принятых на работу помощниками по уходу в организации социального обслуживания Новосибирской области</w:t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Численность родственников, других лиц, осуществляющих уход за гражданами, нуждающимися в уходе, принятых на работу помощниками по уходу в организации социального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Человек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83" w:lineRule="atLeast"/>
              <w:rPr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4"/>
                  <w:szCs w:val="24"/>
                  <w:highlight w:val="none"/>
                </w:rPr>
                <m:rPr/>
                <m:t>∆</m:t>
              </m:r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hint="default"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color w:val="ffffff" w:themeColor="background1"/>
                        <w:sz w:val="16"/>
                        <w:szCs w:val="16"/>
                      </w:rPr>
                      <m:rPr/>
                      <m:t>о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р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=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hint="default" w:ascii="Cambria Math" w:hAnsi="Cambria Math" w:eastAsia="Cambria Math" w:cs="Cambria Math"/>
                      <w:i/>
                      <w:color w:val="000000" w:themeColor="text1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color w:val="000000" w:themeColor="text1"/>
                        <w:sz w:val="16"/>
                        <w:szCs w:val="16"/>
                      </w:rPr>
                      <m:rPr/>
                      <m:t>о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р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hint="default" w:ascii="Cambria Math" w:hAnsi="Cambria Math" w:eastAsia="Cambria Math" w:cs="Cambria Math"/>
                      <w:i/>
                      <w:color w:val="000000" w:themeColor="text1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color w:val="000000" w:themeColor="text1"/>
                        <w:sz w:val="16"/>
                        <w:szCs w:val="16"/>
                      </w:rPr>
                      <m:rPr/>
                      <m:t>п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р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,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0" w:right="0" w:firstLine="0"/>
              <w:jc w:val="both"/>
              <w:spacing w:before="62" w:after="0" w:line="289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где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ascii="Cambria Math" w:hAnsi="Cambria Math" w:eastAsia="Cambria Math" w:cs="Cambria Math"/>
                      <w:i/>
                      <w:color w:val="000000" w:themeColor="text1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color w:val="000000" w:themeColor="text1"/>
                        <w:sz w:val="16"/>
                        <w:szCs w:val="16"/>
                      </w:rPr>
                      <m:rPr/>
                      <m:t>о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р</m:t>
                    </m:r>
                  </m:e>
                </m:mr>
              </m:m>
            </m:oMath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ascii="Cambria Math" w:hAnsi="Cambria Math" w:eastAsia="Cambria Math" w:cs="Cambria Math"/>
                      <w:i/>
                      <w:color w:val="000000" w:themeColor="text1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color w:val="000000" w:themeColor="text1"/>
                        <w:sz w:val="16"/>
                        <w:szCs w:val="16"/>
                      </w:rPr>
                      <m:rPr/>
                      <m:t>п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р</m:t>
                    </m:r>
                  </m:e>
                </m:mr>
              </m:m>
            </m:oMath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– численность родственников, других лиц, осуществляющих уход за гражданами, нуждающимися в уходе, принятых на работу помощниками по уходу в организации социального обслуживания в отчетном периоде и периоде, предшествующем отчетному, соответствен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Доля родственников, других лиц, осуществляющих уход за гражданами, нуждающимися в уходе, сохранивших</w:t>
            </w:r>
            <w:r/>
          </w:p>
          <w:p>
            <w:pPr>
              <w:ind w:left="0" w:right="0" w:firstLine="0"/>
              <w:jc w:val="left"/>
              <w:spacing w:after="0" w:line="289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статус занятых в связи с внедрением системы</w:t>
            </w:r>
            <w:r/>
          </w:p>
          <w:p>
            <w:pPr>
              <w:ind w:left="0" w:right="0" w:firstLine="0"/>
              <w:jc w:val="left"/>
              <w:spacing w:after="0" w:line="289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долговременного</w:t>
            </w:r>
            <w:r/>
          </w:p>
          <w:p>
            <w:pPr>
              <w:ind w:left="0" w:right="0" w:firstLine="0"/>
              <w:jc w:val="left"/>
              <w:spacing w:after="0" w:line="289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ухода</w:t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83" w:lineRule="atLeast"/>
              <w:rPr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Доля родственников, других лиц, осуществляющих уход за гражданами, нуждающимися в уходе, сохранивших статус занятых в связи с внедрением системы долговременного ухода 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 рабочих местах, не связанных с предоставлением социальных услуг в рамках системы долговременного ухода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ind w:left="0" w:right="1803" w:firstLine="0"/>
              <w:jc w:val="center"/>
              <w:spacing w:after="0"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          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hint="default"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color w:val="ffffff" w:themeColor="background1"/>
                        <w:sz w:val="16"/>
                        <w:szCs w:val="16"/>
                      </w:rPr>
                      <m:rPr/>
                      <m:t>о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зр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 = </w:t>
            </w:r>
            <m:oMath>
              <m:f>
                <m:fPr>
                  <m:ctrlPr>
                    <w:rPr>
                      <w:rFonts w:hint="default" w:ascii="Cambria Math" w:hAnsi="Cambria Math" w:eastAsia="Cambria Math" w:cs="Cambria Math"/>
                      <w:i/>
                      <w:color w:val="000000"/>
                      <w:sz w:val="16"/>
                      <w:highlight w:val="none"/>
                    </w:rPr>
                  </m:ctrlPr>
                </m:fPr>
                <m:num>
                  <m:r>
                    <w:rPr>
                      <w:rFonts w:ascii="Cambria Math" w:hAnsi="Cambria Math" w:eastAsia="Cambria Math" w:cs="Cambria Math"/>
                      <w:sz w:val="16"/>
                      <w:szCs w:val="16"/>
                    </w:rPr>
                    <m:rPr/>
                    <m:t>Ч</m:t>
                  </m:r>
                  <m:m>
                    <m:mPr>
                      <m:baseJc m:val="center"/>
                      <m:cGp/>
                      <m:cGpRule/>
                      <m:cSp/>
                      <m:mcs>
                        <m:mc>
                          <m:mcPr>
                            <m:mcJc m:val="center"/>
                            <m:count m:val="1"/>
                          </m:mcPr>
                        </m:mc>
                      </m:mcs>
                      <m:plcHide m:val="off"/>
                      <m:rSp/>
                      <m:rSpRule/>
                      <m:ctrlPr>
                        <w:rPr>
                          <w:rFonts w:hint="default" w:ascii="Cambria Math" w:hAnsi="Cambria Math" w:eastAsia="Cambria Math" w:cs="Cambria Math"/>
                          <w:i/>
                          <w:color w:val="000000"/>
                          <w:sz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eastAsia="Cambria Math" w:cs="Cambria Math"/>
                            <w:sz w:val="16"/>
                            <w:szCs w:val="16"/>
                          </w:rPr>
                          <m:rPr/>
                          <m:t>ок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eastAsia="Cambria Math" w:cs="Cambria Math"/>
                            <w:sz w:val="16"/>
                            <w:szCs w:val="16"/>
                          </w:rPr>
                          <m:rPr/>
                          <m:t>зр</m:t>
                        </m:r>
                      </m:e>
                    </m:mr>
                  </m:m>
                </m:num>
                <m:den>
                  <m:r>
                    <w:rPr>
                      <w:rFonts w:ascii="Cambria Math" w:hAnsi="Cambria Math" w:eastAsia="Cambria Math" w:cs="Cambria Math"/>
                      <w:sz w:val="16"/>
                      <w:szCs w:val="16"/>
                    </w:rPr>
                    <m:rPr/>
                    <m:t>Ч</m:t>
                  </m:r>
                  <m:m>
                    <m:mPr>
                      <m:baseJc m:val="center"/>
                      <m:cGp/>
                      <m:cGpRule/>
                      <m:cSp/>
                      <m:mcs>
                        <m:mc>
                          <m:mcPr>
                            <m:mcJc m:val="center"/>
                            <m:count m:val="1"/>
                          </m:mcPr>
                        </m:mc>
                      </m:mcs>
                      <m:plcHide m:val="off"/>
                      <m:rSp/>
                      <m:rSpRule/>
                      <m:ctrlPr>
                        <w:rPr>
                          <w:rFonts w:hint="default" w:ascii="Cambria Math" w:hAnsi="Cambria Math" w:eastAsia="Cambria Math" w:cs="Cambria Math"/>
                          <w:i/>
                          <w:color w:val="000000"/>
                          <w:sz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eastAsia="Cambria Math" w:cs="Cambria Math"/>
                            <w:sz w:val="16"/>
                            <w:szCs w:val="16"/>
                          </w:rPr>
                          <m:rPr/>
                          <m:t>он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eastAsia="Cambria Math" w:cs="Cambria Math"/>
                            <w:sz w:val="16"/>
                            <w:szCs w:val="16"/>
                          </w:rPr>
                          <m:rPr/>
                          <m:t>зр</m:t>
                        </m:r>
                      </m:e>
                    </m:mr>
                  </m:m>
                </m:den>
              </m:f>
            </m:oMath>
            <w: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  <w:r>
              <w:rPr>
                <w:sz w:val="24"/>
              </w:rPr>
            </w:r>
          </w:p>
          <w:p>
            <w:pPr>
              <w:ind w:left="0" w:right="0" w:firstLine="0"/>
              <w:jc w:val="both"/>
              <w:spacing w:after="0" w:line="289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где </w:t>
            </w:r>
            <w:r/>
            <m:oMath>
              <m:r>
                <w:rPr>
                  <w:rFonts w:ascii="Cambria Math" w:hAnsi="Cambria Math" w:eastAsia="Cambria Math" w:cs="Cambria Math"/>
                  <w:sz w:val="16"/>
                  <w:szCs w:val="16"/>
                </w:rPr>
                <m:rPr/>
                <m:t>Ч</m:t>
              </m:r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ок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зр</m:t>
                    </m:r>
                  </m:e>
                </m:mr>
              </m:m>
            </m:oMath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– численность родственников, других лиц, занятых на рабочих местах, не связанных с предоставлением социальных услуг в рамках системы долговременного ухода, </w:t>
            </w:r>
            <w:r>
              <w:rPr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осуществляющих уход за гражданами, нуждающимися в уходе, сохранивших статус занятых, на конец отчетного периода;</w:t>
            </w:r>
            <w:r/>
          </w:p>
          <w:p>
            <w:pPr>
              <w:ind w:left="0" w:right="0" w:firstLine="0"/>
              <w:jc w:val="both"/>
              <w:spacing w:after="0" w:line="289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  <m:oMath>
              <m:r>
                <w:rPr>
                  <w:rFonts w:ascii="Cambria Math" w:hAnsi="Cambria Math" w:eastAsia="Cambria Math" w:cs="Cambria Math"/>
                  <w:sz w:val="16"/>
                  <w:szCs w:val="16"/>
                </w:rPr>
                <m:rPr/>
                <m:t>Ч</m:t>
              </m:r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он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зр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– численность родственников, других лиц, занятых на рабочих местах, не связанных с предоставлением социальных услуг в рамках системы долговременного ухода, осуществляющих уход за гражданами, нуждающимися в уходе, на начало отчетного периода</w:t>
            </w:r>
            <w:r/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Рост</w:t>
            </w:r>
            <w:r/>
          </w:p>
          <w:p>
            <w:pPr>
              <w:ind w:left="0" w:right="0" w:firstLine="0"/>
              <w:jc w:val="left"/>
              <w:spacing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дополнительных налоговых поступлений и страховых взносов</w:t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Сумма дополнительных налоговых поступлений и страховых взносов, поступающих в бюджет Новосибирской области, бюджеты государственных внебюджетных фондов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3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Рубль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83" w:lineRule="atLeast"/>
              <w:rPr>
                <w:sz w:val="16"/>
                <w:szCs w:val="1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4"/>
                  <w:szCs w:val="24"/>
                  <w:highlight w:val="none"/>
                </w:rPr>
                <m:rPr/>
                <m:t>∆</m:t>
              </m:r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НП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= </w:t>
            </w:r>
            <w:r/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4"/>
                  <w:szCs w:val="24"/>
                  <w:highlight w:val="none"/>
                </w:rPr>
                <m:rPr/>
                <m:t>∆</m:t>
              </m:r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hint="default"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color w:val="ffffff" w:themeColor="background1"/>
                        <w:sz w:val="16"/>
                        <w:szCs w:val="16"/>
                      </w:rPr>
                      <m:rPr/>
                      <m:t>о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ндфл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 + </w:t>
            </w:r>
            <w:r/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4"/>
                  <w:szCs w:val="24"/>
                  <w:highlight w:val="none"/>
                </w:rPr>
                <m:rPr/>
                <m:t>∆</m:t>
              </m:r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hint="default"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color w:val="ffffff" w:themeColor="background1"/>
                        <w:sz w:val="16"/>
                        <w:szCs w:val="16"/>
                      </w:rPr>
                      <m:rPr/>
                      <m:t>п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стр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,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left="0" w:right="0" w:firstLine="0"/>
              <w:jc w:val="both"/>
              <w:spacing w:after="0" w:line="289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где </w:t>
            </w:r>
            <w:r/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4"/>
                  <w:szCs w:val="24"/>
                  <w:highlight w:val="none"/>
                </w:rPr>
                <m:rPr/>
                <m:t>∆</m:t>
              </m:r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color w:val="ffffff" w:themeColor="background1"/>
                        <w:sz w:val="16"/>
                        <w:szCs w:val="16"/>
                      </w:rPr>
                      <m:rPr/>
                      <m:t>о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ндфл</m:t>
                    </m:r>
                  </m:e>
                </m:mr>
              </m:m>
            </m:oMath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сумма дополнительных налоговых поступлений по налогу на доходы физических лиц, поступающих в бюджет Новосибирской области;</w:t>
            </w:r>
            <w:r/>
          </w:p>
          <w:p>
            <w:pPr>
              <w:ind w:left="0" w:right="0" w:firstLine="0"/>
              <w:jc w:val="both"/>
              <w:spacing w:after="0" w:line="289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4"/>
                  <w:szCs w:val="24"/>
                  <w:highlight w:val="none"/>
                </w:rPr>
                <m:rPr/>
                <m:t>∆</m:t>
              </m:r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color w:val="ffffff" w:themeColor="background1"/>
                        <w:sz w:val="16"/>
                        <w:szCs w:val="16"/>
                      </w:rPr>
                      <m:rPr/>
                      <m:t>п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стр</m:t>
                    </m:r>
                  </m:e>
                </m:mr>
              </m:m>
            </m:oMath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сумма страховых взносов, дополнительно поступающих в государственные внебюджетные фонды;</w:t>
            </w:r>
            <w:r/>
          </w:p>
          <w:p>
            <w:pPr>
              <w:ind w:left="0" w:right="0" w:firstLine="0"/>
              <w:jc w:val="center"/>
              <w:spacing w:after="0" w:line="289" w:lineRule="atLeast"/>
              <w:rPr>
                <w:rFonts w:ascii="Cambria Math" w:hAnsi="Cambria Math" w:eastAsia="Cambria Math" w:cs="Cambria Math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/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4"/>
                  <w:szCs w:val="24"/>
                  <w:highlight w:val="none"/>
                </w:rPr>
                <m:rPr/>
                <m:t>∆</m:t>
              </m:r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color w:val="ffffff" w:themeColor="background1"/>
                        <w:sz w:val="16"/>
                        <w:szCs w:val="16"/>
                      </w:rPr>
                      <m:rPr/>
                      <m:t>о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ндфл</m:t>
                    </m:r>
                  </m:e>
                </m:mr>
              </m:m>
            </m:oMath>
            <w:r>
              <w:t xml:space="preserve"> = </w:t>
            </w:r>
            <w:r/>
            <m:oMath>
              <m:r>
                <w:rPr>
                  <w:rFonts w:hint="default" w:ascii="Cambria Math" w:hAnsi="Cambria Math" w:eastAsia="Cambria Math" w:cs="Cambria Math"/>
                  <w:sz w:val="24"/>
                  <w:szCs w:val="24"/>
                  <w:highlight w:val="none"/>
                </w:rPr>
                <m:rPr/>
                <m:t>Σ</m:t>
              </m:r>
            </m:oMath>
            <w:r>
              <w:rPr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S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color w:val="ffffff" w:themeColor="background1"/>
                        <w:sz w:val="16"/>
                        <w:szCs w:val="16"/>
                      </w:rPr>
                      <m:rPr/>
                      <m:t>о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ндфл</m:t>
                    </m:r>
                  </m:e>
                </m:mr>
              </m:m>
            </m:oMath>
            <w:r>
              <w:rPr>
                <w:sz w:val="24"/>
                <w:szCs w:val="24"/>
                <w:highlight w:val="none"/>
              </w:rPr>
              <w:t xml:space="preserve">,</w:t>
            </w:r>
            <w:r>
              <w:rPr>
                <w:sz w:val="24"/>
                <w:szCs w:val="24"/>
              </w:rPr>
            </w:r>
            <w:r>
              <w:rPr>
                <w:sz w:val="16"/>
                <w:szCs w:val="16"/>
              </w:rPr>
            </w:r>
          </w:p>
          <w:p>
            <w:pPr>
              <w:ind w:left="0" w:right="0" w:firstLine="0"/>
              <w:jc w:val="both"/>
              <w:spacing w:after="0" w:line="27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где </w:t>
            </w:r>
            <w:r/>
            <m:oMath>
              <m:r>
                <w:rPr>
                  <w:rFonts w:hint="default" w:ascii="Cambria Math" w:hAnsi="Cambria Math" w:eastAsia="Cambria Math" w:cs="Cambria Math"/>
                  <w:sz w:val="24"/>
                  <w:szCs w:val="24"/>
                  <w:highlight w:val="none"/>
                </w:rPr>
                <m:rPr/>
                <m:t>Σ</m:t>
              </m:r>
            </m:oMath>
            <w:r>
              <w:rPr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S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color w:val="ffffff" w:themeColor="background1"/>
                        <w:sz w:val="16"/>
                        <w:szCs w:val="16"/>
                      </w:rPr>
                      <m:rPr/>
                      <m:t>о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ндфл</m:t>
                    </m:r>
                  </m:e>
                </m:mr>
              </m:m>
            </m:oMath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– общая сумма перечисленного налога на доходы физических лиц по занятым, трудоустроенным на новые рабочие места в должности помощника по уходу в организации социального обслуживания Новосибирской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 за отчетный (расчетный) период;</w:t>
            </w:r>
            <w:r/>
          </w:p>
          <w:p>
            <w:pPr>
              <w:ind w:left="0" w:right="0" w:firstLine="0"/>
              <w:jc w:val="center"/>
              <w:spacing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4"/>
                  <w:szCs w:val="24"/>
                  <w:highlight w:val="none"/>
                </w:rPr>
                <m:rPr/>
                <m:t>∆</m:t>
              </m:r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hint="default"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color w:val="ffffff" w:themeColor="background1"/>
                        <w:sz w:val="16"/>
                        <w:szCs w:val="16"/>
                      </w:rPr>
                      <m:rPr/>
                      <m:t>о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стр</m:t>
                    </m:r>
                  </m:e>
                </m:mr>
              </m:m>
            </m:oMath>
            <w:r>
              <w:t xml:space="preserve"> = </w:t>
            </w:r>
            <w:r/>
            <m:oMath>
              <m:r>
                <w:rPr>
                  <w:rFonts w:hint="default" w:ascii="Cambria Math" w:hAnsi="Cambria Math" w:eastAsia="Cambria Math" w:cs="Cambria Math"/>
                  <w:sz w:val="24"/>
                  <w:szCs w:val="24"/>
                  <w:highlight w:val="none"/>
                </w:rPr>
                <m:rPr/>
                <m:t>Σ</m:t>
              </m:r>
            </m:oMath>
            <w:r>
              <w:rPr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S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hint="default"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color w:val="ffffff" w:themeColor="background1"/>
                        <w:sz w:val="16"/>
                        <w:szCs w:val="16"/>
                      </w:rPr>
                      <m:rPr/>
                      <m:t>о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стр</m:t>
                    </m:r>
                  </m:e>
                </m:mr>
              </m:m>
            </m:oMath>
            <w:r>
              <w:rPr>
                <w:sz w:val="24"/>
                <w:szCs w:val="24"/>
                <w:highlight w:val="none"/>
              </w:rPr>
              <w:t xml:space="preserve">,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ind w:left="0" w:right="0" w:firstLine="0"/>
              <w:jc w:val="both"/>
              <w:spacing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где </w:t>
            </w:r>
            <w:r/>
            <m:oMath>
              <m:r>
                <w:rPr>
                  <w:rFonts w:ascii="Cambria Math" w:hAnsi="Cambria Math" w:eastAsia="Cambria Math" w:cs="Cambria Math"/>
                  <w:sz w:val="24"/>
                  <w:szCs w:val="24"/>
                </w:rPr>
                <m:rPr/>
                <m:t>Σ</m:t>
              </m:r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S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color w:val="ffffff" w:themeColor="background1"/>
                        <w:sz w:val="16"/>
                        <w:szCs w:val="16"/>
                      </w:rPr>
                      <m:rPr/>
                      <m:t>о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стр</m:t>
                    </m:r>
                  </m:e>
                </m:mr>
              </m:m>
            </m:oMath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– общая сумма страховых взносов, уплаченных в государственные внебюджетные фонды за работников, трудоустроенных на новые рабочие места в организациях социального обслуживания и осуществляющих трудовую деятельность в должности помощника по уходу, за отчетны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й (расчетный) период</w:t>
            </w:r>
            <w:r/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нов местного самоуправления,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ведении которых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находятся комплексные центры социального обслуживания (по запросу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труда и социального развития Новосибирской области)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Снижение платежей по обязательному медицинскому страхованию неработающего населения, уплачиваемых в Федеральный фонд обязательного медицинского страхования из бюджета Новосибирской области</w:t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83" w:lineRule="atLeast"/>
              <w:rPr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перечисляемые в систему обязательного медицинского страхования для покрытия расходов на предоставление медицинской помощи безработным гражданам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4"/>
                  <w:szCs w:val="24"/>
                  <w:highlight w:val="none"/>
                </w:rPr>
                <m:rPr/>
                <m:t>∆</m:t>
              </m:r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hint="default"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color w:val="ffffff" w:themeColor="background1"/>
                        <w:sz w:val="16"/>
                        <w:szCs w:val="16"/>
                      </w:rPr>
                      <m:rPr/>
                      <m:t>о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Б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= </w:t>
            </w:r>
            <w:r/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4"/>
                  <w:szCs w:val="24"/>
                  <w:highlight w:val="none"/>
                </w:rPr>
                <m:rPr/>
                <m:t>∆</m:t>
              </m:r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color w:val="ffffff" w:themeColor="background1"/>
                        <w:sz w:val="16"/>
                        <w:szCs w:val="16"/>
                      </w:rPr>
                      <m:rPr/>
                      <m:t>о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Б</m:t>
                    </m:r>
                  </m:e>
                </m:mr>
              </m:m>
            </m:oMath>
            <w:r>
              <w:t xml:space="preserve"> </w:t>
            </w:r>
            <w:r/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4"/>
                  <w:szCs w:val="24"/>
                  <w:highlight w:val="none"/>
                </w:rPr>
                <m:rPr/>
                <m:t>×</m:t>
              </m:r>
            </m:oMath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hint="default"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color w:val="ffffff" w:themeColor="background1"/>
                        <w:sz w:val="16"/>
                        <w:szCs w:val="16"/>
                      </w:rPr>
                      <m:rPr/>
                      <m:t>о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омс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</w:t>
            </w:r>
            <w:r/>
          </w:p>
          <w:p>
            <w:pPr>
              <w:ind w:left="0" w:right="0" w:firstLine="0"/>
              <w:jc w:val="both"/>
              <w:spacing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где </w:t>
            </w:r>
            <w:r/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4"/>
                  <w:szCs w:val="24"/>
                  <w:highlight w:val="none"/>
                </w:rPr>
                <m:rPr/>
                <m:t>∆</m:t>
              </m:r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color w:val="ffffff" w:themeColor="background1"/>
                        <w:sz w:val="16"/>
                        <w:szCs w:val="16"/>
                      </w:rPr>
                      <m:rPr/>
                      <m:t>о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Б</m:t>
                    </m:r>
                  </m:e>
                </m:mr>
              </m:m>
            </m:oMath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– экономия расходов бюджета Новосибирской области, перечисляемых на обязательное медицинское страхование для покрытия расходов на предоставление медицинской помощи безработным гражданам;</w:t>
            </w:r>
            <w:r/>
          </w:p>
          <w:p>
            <w:pPr>
              <w:ind w:left="0" w:right="0" w:firstLine="0"/>
              <w:jc w:val="both"/>
              <w:spacing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/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4"/>
                  <w:szCs w:val="24"/>
                  <w:highlight w:val="none"/>
                </w:rPr>
                <m:rPr/>
                <m:t>∆</m:t>
              </m:r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color w:val="ffffff" w:themeColor="background1"/>
                        <w:sz w:val="16"/>
                        <w:szCs w:val="16"/>
                      </w:rPr>
                      <m:rPr/>
                      <m:t>о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Б</m:t>
                    </m:r>
                  </m:e>
                </m:mr>
              </m:m>
            </m:oMath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– численность безработных граждан, трудоустроенных в отчетном периоде в организации социального обслуживания Новосибирской области и иные организации, подведомственные министерству труда и социального развития Новосибирской области, и осуществляющих трудо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вую деятельность в должности помощника по уходу, эксперта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 оценке нуждаемости, организатора ухода;</w:t>
            </w:r>
            <w:r/>
            <w:r>
              <w:rPr>
                <w:sz w:val="24"/>
              </w:rPr>
            </w:r>
          </w:p>
          <w:p>
            <w:pPr>
              <w:ind w:left="0" w:right="0" w:firstLine="0"/>
              <w:jc w:val="both"/>
              <w:spacing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color w:val="ffffff" w:themeColor="background1"/>
                        <w:sz w:val="16"/>
                        <w:szCs w:val="16"/>
                      </w:rPr>
                      <m:rPr/>
                      <m:t>о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омс</m:t>
                    </m:r>
                  </m:e>
                </m:mr>
              </m:m>
            </m:oMath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–</w:t>
            </w:r>
            <w:r/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тариф страхового взноса на обязательное медицинское страхование неработающего населения, установленный Федеральным законом от 30.11.2011 № 354-ФЗ «О размере и порядке расчета тарифа страхового взноса на обязательное медицинское страхование нера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ботающего населения»</w:t>
            </w:r>
            <w:r/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нов местного самоуправления,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ведении которых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находятся комплексные центры социального обслуживания (по запросу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труда и социального развития Новосибирской области)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Снижение расходов бюджетов субъектов Российской Федерации на создание новых и расширение действующих мощностей стационарных организаций социального обслуживания и их содержание</w:t>
            </w:r>
            <w:r/>
          </w:p>
          <w:p>
            <w:pPr>
              <w:ind w:left="0" w:right="0" w:firstLine="0"/>
              <w:jc w:val="left"/>
              <w:spacing w:after="0" w:line="283" w:lineRule="atLeast"/>
              <w:rPr>
                <w:rFonts w:ascii="Times New Roman" w:hAnsi="Times New Roman" w:eastAsia="Times New Roman" w:cs="Times New Roman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83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Расходы бюджета Новосибирской области на создание новых и расширение действующих мощностей стационарных организаций социального обслуживания и их содержание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3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Рубль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119" w:line="23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4"/>
                  <w:szCs w:val="24"/>
                  <w:highlight w:val="none"/>
                </w:rPr>
                <m:rPr/>
                <m:t>∆</m:t>
              </m:r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color w:val="ffffff" w:themeColor="background1"/>
                        <w:sz w:val="16"/>
                        <w:szCs w:val="16"/>
                      </w:rPr>
                      <m:rPr/>
                      <m:t>о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</w:rPr>
                      <m:rPr/>
                      <m:t>к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= </w:t>
            </w:r>
            <w:r/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4"/>
                  <w:szCs w:val="24"/>
                  <w:highlight w:val="none"/>
                </w:rPr>
                <m:rPr/>
                <m:t>∆</m:t>
              </m:r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t xml:space="preserve"> </w:t>
            </w:r>
            <w:r/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4"/>
                  <w:szCs w:val="24"/>
                  <w:highlight w:val="none"/>
                </w:rPr>
                <m:rPr/>
                <m:t>×</m:t>
              </m:r>
            </m:oMath>
            <w: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hint="default"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color w:val="ffffff" w:themeColor="background1"/>
                        <w:sz w:val="16"/>
                        <w:szCs w:val="16"/>
                      </w:rPr>
                      <m:rPr/>
                      <m:t>о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стр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+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hint="default"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color w:val="ffffff" w:themeColor="background1"/>
                        <w:sz w:val="16"/>
                        <w:szCs w:val="16"/>
                      </w:rPr>
                      <m:rPr/>
                      <m:t>о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сод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),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ind w:left="0" w:right="0" w:firstLine="0"/>
              <w:jc w:val="both"/>
              <w:spacing w:before="119" w:after="0" w:line="289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4"/>
                  <w:szCs w:val="24"/>
                  <w:highlight w:val="none"/>
                </w:rPr>
                <m:rPr/>
                <m:t>∆</m:t>
              </m:r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color w:val="ffffff" w:themeColor="background1"/>
                        <w:sz w:val="16"/>
                        <w:szCs w:val="16"/>
                      </w:rPr>
                      <m:rPr/>
                      <m:t>о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</w:rPr>
                      <m:rPr/>
                      <m:t>к</m:t>
                    </m:r>
                  </m:e>
                </m:mr>
              </m:m>
            </m:oMath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– прирост расходов бюджета Новосибирской области на создание новых и расширение действующих мощностей стационарных организаций социального обслуживания и их содержание;</w:t>
            </w:r>
            <w:r/>
          </w:p>
          <w:p>
            <w:pPr>
              <w:ind w:left="0" w:right="0" w:firstLine="0"/>
              <w:jc w:val="both"/>
              <w:spacing w:after="0" w:line="289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где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 </w:t>
            </w:r>
            <w:r/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4"/>
                  <w:szCs w:val="24"/>
                  <w:highlight w:val="none"/>
                </w:rPr>
                <m:rPr/>
                <m:t>∆</m:t>
              </m:r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</w:t>
            </w:r>
            <w:r/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изменение потребности в коечном фонде стационарных организаций социального обслуживания с учетом системы долговременного ухода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vertAlign w:val="super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;</w:t>
            </w:r>
            <w:r/>
          </w:p>
          <w:p>
            <w:pPr>
              <w:ind w:left="0" w:right="0" w:firstLine="0"/>
              <w:jc w:val="both"/>
              <w:spacing w:after="0" w:line="29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color w:val="ffffff" w:themeColor="background1"/>
                        <w:sz w:val="16"/>
                        <w:szCs w:val="16"/>
                      </w:rPr>
                      <m:rPr/>
                      <m:t>о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стр</m:t>
                    </m:r>
                  </m:e>
                </m:mr>
              </m:m>
            </m:oMath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средние расходы на создание или расширение мощности стационарной организации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социального обслуживания (количества койко-мест);</w:t>
            </w:r>
            <w:r/>
          </w:p>
          <w:p>
            <w:pPr>
              <w:ind w:left="0" w:right="0" w:firstLine="0"/>
              <w:jc w:val="both"/>
              <w:spacing w:after="0" w:line="29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color w:val="ffffff" w:themeColor="background1"/>
                        <w:sz w:val="16"/>
                        <w:szCs w:val="16"/>
                      </w:rPr>
                      <m:rPr/>
                      <m:t>о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сод</m:t>
                    </m:r>
                  </m:e>
                </m:mr>
              </m:m>
            </m:oMath>
            <w:r/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– средние расходы на содержание одной койки в стационарной организации социального обслуживания</w:t>
            </w:r>
            <w:r/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Государственная информационная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система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нов местного самоуправления,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ведении которых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находятся комплексные центры социального обслуживания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(по запросу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труда и социального развития Новосибирской области)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государственных стационарных учреждений социального обслуживания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(по запросу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труда и социального развития Новосибирской области)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83"/>
        </w:trPr>
        <w:tc>
          <w:tcPr>
            <w:gridSpan w:val="6"/>
            <w:tcW w:w="1470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эффективности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83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9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Рост коэффициента стабильности кадров</w:t>
            </w:r>
            <w:r/>
          </w:p>
          <w:p>
            <w:pPr>
              <w:ind w:left="0" w:right="0" w:firstLine="0"/>
              <w:jc w:val="left"/>
              <w:spacing w:after="0" w:line="283" w:lineRule="atLeast"/>
              <w:rPr>
                <w:rFonts w:ascii="Times New Roman" w:hAnsi="Times New Roman" w:eastAsia="Times New Roman" w:cs="Times New Roman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83" w:lineRule="atLeast"/>
              <w:rPr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Доля помощников по уходу,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организаторов ухода, экспертов по оценке нуждаемости, отработавших год и более, в общей численности работников, работающих на данных должностях</w:t>
            </w: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89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</w:r>
            <w:r/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4"/>
                  <w:szCs w:val="24"/>
                  <w:highlight w:val="none"/>
                </w:rPr>
                <m:rPr/>
                <m:t>∆</m:t>
              </m:r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hint="default"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color w:val="ffffff" w:themeColor="background1"/>
                        <w:sz w:val="16"/>
                        <w:szCs w:val="16"/>
                      </w:rPr>
                      <m:rPr/>
                      <m:t>о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ст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=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hint="default" w:ascii="Cambria Math" w:hAnsi="Cambria Math" w:eastAsia="Cambria Math" w:cs="Cambria Math"/>
                      <w:i/>
                      <w:color w:val="000000" w:themeColor="text1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color w:val="000000" w:themeColor="text1"/>
                        <w:sz w:val="16"/>
                        <w:szCs w:val="16"/>
                      </w:rPr>
                      <m:rPr/>
                      <m:t>о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ст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hint="default" w:ascii="Cambria Math" w:hAnsi="Cambria Math" w:eastAsia="Cambria Math" w:cs="Cambria Math"/>
                      <w:i/>
                      <w:color w:val="000000" w:themeColor="text1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color w:val="000000" w:themeColor="text1"/>
                        <w:sz w:val="16"/>
                        <w:szCs w:val="16"/>
                      </w:rPr>
                      <m:rPr/>
                      <m:t>п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ст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,</w:t>
            </w:r>
            <w:r/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</w:r>
            <w:r/>
          </w:p>
          <w:p>
            <w:pPr>
              <w:ind w:left="0" w:right="0" w:firstLine="0"/>
              <w:jc w:val="both"/>
              <w:spacing w:after="0" w:line="289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где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ascii="Cambria Math" w:hAnsi="Cambria Math" w:eastAsia="Cambria Math" w:cs="Cambria Math"/>
                      <w:i/>
                      <w:color w:val="000000" w:themeColor="text1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color w:val="000000" w:themeColor="text1"/>
                        <w:sz w:val="16"/>
                        <w:szCs w:val="16"/>
                      </w:rPr>
                      <m:rPr/>
                      <m:t>о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ст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 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ascii="Cambria Math" w:hAnsi="Cambria Math" w:eastAsia="Cambria Math" w:cs="Cambria Math"/>
                      <w:i/>
                      <w:color w:val="000000" w:themeColor="text1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color w:val="000000" w:themeColor="text1"/>
                        <w:sz w:val="16"/>
                        <w:szCs w:val="16"/>
                      </w:rPr>
                      <m:rPr/>
                      <m:t>п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ст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– коэффициент стабильности кадров в отчетном году и году, предшествующем отчетному, соответственно;</w:t>
            </w:r>
            <w:r/>
          </w:p>
          <w:p>
            <w:pPr>
              <w:ind w:left="0" w:right="0" w:firstLine="0"/>
              <w:jc w:val="center"/>
              <w:spacing w:before="62" w:after="0" w:line="283" w:lineRule="atLeast"/>
              <w:rPr>
                <w:color w:val="ffffff" w:themeColor="background1"/>
                <w:sz w:val="16"/>
                <w:szCs w:val="1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hint="default"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о</m:t>
                    </m:r>
                    <m:r>
                      <w:rPr>
                        <w:rFonts w:ascii="Cambria Math" w:hAnsi="Cambria Math" w:eastAsia="Cambria Math" w:cs="Cambria Math"/>
                        <w:color w:val="ffffff" w:themeColor="background1"/>
                        <w:sz w:val="16"/>
                        <w:szCs w:val="16"/>
                      </w:rPr>
                      <m:rPr/>
                      <m:t>о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ст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 = </w:t>
            </w:r>
            <m:oMath>
              <m:f>
                <m:fPr>
                  <m:ctrlPr>
                    <w:rPr>
                      <w:rFonts w:hint="default" w:ascii="Cambria Math" w:hAnsi="Cambria Math" w:eastAsia="Cambria Math" w:cs="Cambria Math"/>
                      <w:i/>
                      <w:color w:val="000000"/>
                      <w:sz w:val="16"/>
                      <w:highlight w:val="none"/>
                    </w:rPr>
                  </m:ctrlPr>
                </m:fPr>
                <m:num>
                  <m:r>
                    <w:rPr>
                      <w:rFonts w:ascii="Cambria Math" w:hAnsi="Cambria Math" w:eastAsia="Cambria Math" w:cs="Cambria Math"/>
                      <w:sz w:val="16"/>
                      <w:szCs w:val="16"/>
                    </w:rPr>
                    <m:rPr/>
                    <m:t>Ч</m:t>
                  </m:r>
                  <m:m>
                    <m:mPr>
                      <m:baseJc m:val="center"/>
                      <m:cGp/>
                      <m:cGpRule/>
                      <m:cSp/>
                      <m:mcs>
                        <m:mc>
                          <m:mcPr>
                            <m:mcJc m:val="center"/>
                            <m:count m:val="1"/>
                          </m:mcPr>
                        </m:mc>
                      </m:mcs>
                      <m:plcHide m:val="off"/>
                      <m:rSp/>
                      <m:rSpRule/>
                      <m:ctrlPr>
                        <w:rPr>
                          <w:rFonts w:hint="default" w:ascii="Cambria Math" w:hAnsi="Cambria Math" w:eastAsia="Cambria Math" w:cs="Cambria Math"/>
                          <w:i/>
                          <w:color w:val="000000"/>
                          <w:sz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eastAsia="Cambria Math" w:cs="Cambria Math"/>
                            <w:sz w:val="16"/>
                            <w:szCs w:val="16"/>
                          </w:rPr>
                          <m:rPr/>
                          <m:t>о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eastAsia="Cambria Math" w:cs="Cambria Math"/>
                            <w:sz w:val="16"/>
                            <w:szCs w:val="16"/>
                          </w:rPr>
                          <m:rPr/>
                          <m:t>г</m:t>
                        </m:r>
                      </m:e>
                    </m:mr>
                  </m:m>
                </m:num>
                <m:den>
                  <m:r>
                    <w:rPr>
                      <w:rFonts w:ascii="Cambria Math" w:hAnsi="Cambria Math" w:eastAsia="Cambria Math" w:cs="Cambria Math"/>
                      <w:sz w:val="16"/>
                      <w:szCs w:val="16"/>
                    </w:rPr>
                    <m:rPr/>
                    <m:t>Ч</m:t>
                  </m:r>
                  <m:m>
                    <m:mPr>
                      <m:baseJc m:val="center"/>
                      <m:cGp/>
                      <m:cGpRule/>
                      <m:cSp/>
                      <m:mcs>
                        <m:mc>
                          <m:mcPr>
                            <m:mcJc m:val="center"/>
                            <m:count m:val="1"/>
                          </m:mcPr>
                        </m:mc>
                      </m:mcs>
                      <m:plcHide m:val="off"/>
                      <m:rSp/>
                      <m:rSpRule/>
                      <m:ctrlPr>
                        <w:rPr>
                          <w:rFonts w:hint="default" w:ascii="Cambria Math" w:hAnsi="Cambria Math" w:eastAsia="Cambria Math" w:cs="Cambria Math"/>
                          <w:i/>
                          <w:color w:val="000000"/>
                          <w:sz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eastAsia="Cambria Math" w:cs="Cambria Math"/>
                            <w:sz w:val="16"/>
                            <w:szCs w:val="16"/>
                          </w:rPr>
                          <m:rPr/>
                          <m:t>о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eastAsia="Cambria Math" w:cs="Cambria Math"/>
                            <w:color w:val="ffffff" w:themeColor="background1"/>
                            <w:sz w:val="16"/>
                            <w:szCs w:val="16"/>
                          </w:rPr>
                          <m:rPr/>
                          <m:t>з</m:t>
                        </m:r>
                        <m:r>
                          <w:rPr>
                            <w:rFonts w:ascii="Cambria Math" w:hAnsi="Cambria Math" w:eastAsia="Cambria Math" w:cs="Cambria Math"/>
                            <w:color w:val="ffffff" w:themeColor="background1"/>
                            <w:sz w:val="16"/>
                            <w:szCs w:val="16"/>
                          </w:rPr>
                          <m:rPr/>
                          <m:t>р</m:t>
                        </m:r>
                      </m:e>
                    </m:mr>
                  </m:m>
                </m:den>
              </m:f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ind w:left="0" w:right="0" w:firstLine="0"/>
              <w:jc w:val="both"/>
              <w:spacing w:before="62" w:after="0" w:line="283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где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hint="default"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о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г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– численность работников из числа помощников по уходу, организаторов ухода, экспертов по оценке нуждаемости, отработавших год и более в отчетном году;</w:t>
            </w:r>
            <w:r/>
          </w:p>
          <w:p>
            <w:pPr>
              <w:ind w:left="0" w:right="0" w:firstLine="0"/>
              <w:jc w:val="both"/>
              <w:spacing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о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color w:val="ffffff" w:themeColor="background1"/>
                        <w:sz w:val="16"/>
                        <w:szCs w:val="16"/>
                      </w:rPr>
                      <m:rPr/>
                      <m:t>г</m:t>
                    </m:r>
                  </m:e>
                </m:mr>
              </m:m>
            </m:oMath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– общая численность работников из числа помощников по уходу, организаторов ухода, экспертов по оценке нуждаемости, отработавших год и более в отчетном году;</w:t>
            </w:r>
            <w:r/>
          </w:p>
          <w:p>
            <w:pPr>
              <w:ind w:left="0" w:right="0" w:firstLine="0"/>
              <w:jc w:val="center"/>
              <w:spacing w:after="62" w:line="119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hint="default"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п</m:t>
                    </m:r>
                    <m:r>
                      <w:rPr>
                        <w:rFonts w:ascii="Cambria Math" w:hAnsi="Cambria Math" w:eastAsia="Cambria Math" w:cs="Cambria Math"/>
                        <w:color w:val="ffffff" w:themeColor="background1"/>
                        <w:sz w:val="16"/>
                        <w:szCs w:val="16"/>
                      </w:rPr>
                      <m:rPr/>
                      <m:t>о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ст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 = </w:t>
            </w:r>
            <m:oMath>
              <m:f>
                <m:fPr>
                  <m:ctrlPr>
                    <w:rPr>
                      <w:rFonts w:hint="default" w:ascii="Cambria Math" w:hAnsi="Cambria Math" w:eastAsia="Cambria Math" w:cs="Cambria Math"/>
                      <w:i/>
                      <w:color w:val="000000"/>
                      <w:sz w:val="16"/>
                      <w:highlight w:val="none"/>
                    </w:rPr>
                  </m:ctrlPr>
                </m:fPr>
                <m:num>
                  <m:r>
                    <w:rPr>
                      <w:rFonts w:ascii="Cambria Math" w:hAnsi="Cambria Math" w:eastAsia="Cambria Math" w:cs="Cambria Math"/>
                      <w:sz w:val="16"/>
                      <w:szCs w:val="16"/>
                    </w:rPr>
                    <m:rPr/>
                    <m:t>Ч</m:t>
                  </m:r>
                  <m:m>
                    <m:mPr>
                      <m:baseJc m:val="center"/>
                      <m:cGp/>
                      <m:cGpRule/>
                      <m:cSp/>
                      <m:mcs>
                        <m:mc>
                          <m:mcPr>
                            <m:mcJc m:val="center"/>
                            <m:count m:val="1"/>
                          </m:mcPr>
                        </m:mc>
                      </m:mcs>
                      <m:plcHide m:val="off"/>
                      <m:rSp/>
                      <m:rSpRule/>
                      <m:ctrlPr>
                        <w:rPr>
                          <w:rFonts w:hint="default" w:ascii="Cambria Math" w:hAnsi="Cambria Math" w:eastAsia="Cambria Math" w:cs="Cambria Math"/>
                          <w:i/>
                          <w:color w:val="000000"/>
                          <w:sz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eastAsia="Cambria Math" w:cs="Cambria Math"/>
                            <w:sz w:val="16"/>
                            <w:szCs w:val="16"/>
                          </w:rPr>
                          <m:rPr/>
                          <m:t>п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eastAsia="Cambria Math" w:cs="Cambria Math"/>
                            <w:sz w:val="16"/>
                            <w:szCs w:val="16"/>
                          </w:rPr>
                          <m:rPr/>
                          <m:t>г</m:t>
                        </m:r>
                      </m:e>
                    </m:mr>
                  </m:m>
                </m:num>
                <m:den>
                  <m:r>
                    <w:rPr>
                      <w:rFonts w:ascii="Cambria Math" w:hAnsi="Cambria Math" w:eastAsia="Cambria Math" w:cs="Cambria Math"/>
                      <w:sz w:val="16"/>
                      <w:szCs w:val="16"/>
                    </w:rPr>
                    <m:rPr/>
                    <m:t>Ч</m:t>
                  </m:r>
                  <m:m>
                    <m:mPr>
                      <m:baseJc m:val="center"/>
                      <m:cGp/>
                      <m:cGpRule/>
                      <m:cSp/>
                      <m:mcs>
                        <m:mc>
                          <m:mcPr>
                            <m:mcJc m:val="center"/>
                            <m:count m:val="1"/>
                          </m:mcPr>
                        </m:mc>
                      </m:mcs>
                      <m:plcHide m:val="off"/>
                      <m:rSp/>
                      <m:rSpRule/>
                      <m:ctrlPr>
                        <w:rPr>
                          <w:rFonts w:hint="default" w:ascii="Cambria Math" w:hAnsi="Cambria Math" w:eastAsia="Cambria Math" w:cs="Cambria Math"/>
                          <w:i/>
                          <w:color w:val="000000"/>
                          <w:sz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eastAsia="Cambria Math" w:cs="Cambria Math"/>
                            <w:sz w:val="16"/>
                            <w:szCs w:val="16"/>
                          </w:rPr>
                          <m:rPr/>
                          <m:t>п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eastAsia="Cambria Math" w:cs="Cambria Math"/>
                            <w:color w:val="ffffff" w:themeColor="background1"/>
                            <w:sz w:val="16"/>
                            <w:szCs w:val="16"/>
                          </w:rPr>
                          <m:rPr/>
                          <m:t>з</m:t>
                        </m:r>
                        <m:r>
                          <w:rPr>
                            <w:rFonts w:ascii="Cambria Math" w:hAnsi="Cambria Math" w:eastAsia="Cambria Math" w:cs="Cambria Math"/>
                            <w:color w:val="ffffff" w:themeColor="background1"/>
                            <w:sz w:val="16"/>
                            <w:szCs w:val="16"/>
                          </w:rPr>
                          <m:rPr/>
                          <m:t>р</m:t>
                        </m:r>
                      </m:e>
                    </m:mr>
                  </m:m>
                </m:den>
              </m:f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,</w:t>
            </w:r>
            <w:r/>
            <w:r/>
          </w:p>
          <w:p>
            <w:pPr>
              <w:ind w:left="0" w:right="0" w:firstLine="0"/>
              <w:jc w:val="both"/>
              <w:spacing w:before="62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где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hint="default"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п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г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– численность работников из числа помощников по уходу, организаторов ухода, экспертов по оценке нуждаемости, отработавших год и более в году, предшествующем отчетному;</w:t>
            </w:r>
            <w:r/>
          </w:p>
          <w:p>
            <w:pPr>
              <w:ind w:left="0" w:right="0" w:firstLine="0"/>
              <w:jc w:val="both"/>
              <w:spacing w:after="0" w:line="283" w:lineRule="atLeast"/>
              <w:tabs>
                <w:tab w:val="left" w:pos="3362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m:oMath>
              <m:m>
                <m:mPr>
                  <m:baseJc m:val="center"/>
                  <m:cGp/>
                  <m:cGpRule/>
                  <m:cSp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  <m:plcHide m:val="off"/>
                  <m:rSp/>
                  <m:rSpRule/>
                  <m:ctrlPr>
                    <w:rPr>
                      <w:rFonts w:hint="default" w:ascii="Cambria Math" w:hAnsi="Cambria Math" w:eastAsia="Cambria Math" w:cs="Cambria Math"/>
                      <w:i/>
                      <w:color w:val="000000"/>
                      <w:sz w:val="16"/>
                    </w:rPr>
                  </m:ctrlPr>
                </m:mPr>
                <m:mr>
                  <m:e>
                    <m:r>
                      <w:rPr>
                        <w:rFonts w:ascii="Cambria Math" w:hAnsi="Cambria Math" w:eastAsia="Cambria Math" w:cs="Cambria Math"/>
                        <w:sz w:val="16"/>
                        <w:szCs w:val="16"/>
                      </w:rPr>
                      <m:rPr/>
                      <m:t>п</m:t>
                    </m:r>
                  </m:e>
                </m:mr>
                <m:mr>
                  <m:e>
                    <m:r>
                      <w:rPr>
                        <w:rFonts w:ascii="Cambria Math" w:hAnsi="Cambria Math" w:eastAsia="Cambria Math" w:cs="Cambria Math"/>
                        <w:color w:val="ffffff" w:themeColor="background1"/>
                        <w:sz w:val="16"/>
                        <w:szCs w:val="16"/>
                      </w:rPr>
                      <m:rPr/>
                      <m:t>г</m:t>
                    </m:r>
                  </m:e>
                </m:mr>
              </m:m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– общая численность работников из числа помощников по уходу, организаторов ухода, экспертов по оценке нуждаемости, отработавших год и более в году, предшествующем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u w:val="none"/>
              </w:rPr>
              <w:t xml:space="preserve">отчетному</w:t>
            </w:r>
            <w:r>
              <w:rPr>
                <w:u w:val="none"/>
              </w:rPr>
            </w:r>
            <w:r/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нов местного самоуправления,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ведении которых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находятся комплексные центры социального обслуживания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(по запросу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труда и социального развития Новосибирской области)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0" w:right="0" w:firstLine="0"/>
        <w:jc w:val="both"/>
        <w:spacing w:after="0" w:line="232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18"/>
          <w:highlight w:val="none"/>
        </w:rPr>
      </w:r>
    </w:p>
    <w:p>
      <w:pPr>
        <w:ind w:left="0" w:right="0" w:firstLine="0"/>
        <w:jc w:val="both"/>
        <w:spacing w:after="0" w:line="232" w:lineRule="atLeast"/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Потребность в коечном фонде определяется как доля от численности граждан, которые приняты на долговременный уход и которым установлен 3 уровень нуждаемости в уходе, с учетом среднего оборота койки в год и рассчитывается по формуле: </w:t>
      </w:r>
      <w:r>
        <w:rPr>
          <w:rFonts w:ascii="Palatino Linotype" w:hAnsi="Palatino Linotype" w:eastAsia="Palatino Linotype" w:cs="Palatino Linotype"/>
          <w:i/>
          <w:color w:val="000000"/>
          <w:sz w:val="20"/>
          <w:szCs w:val="20"/>
        </w:rPr>
        <w:t xml:space="preserve">К =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0,35 х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N</w:t>
      </w:r>
      <w:r>
        <w:rPr>
          <w:rFonts w:ascii="Times New Roman" w:hAnsi="Times New Roman" w:eastAsia="Times New Roman" w:cs="Times New Roman"/>
          <w:color w:val="000000"/>
          <w:sz w:val="24"/>
        </w:rPr>
      </w:r>
      <m:oMath>
        <m:m>
          <m:mPr>
            <m:baseJc m:val="center"/>
            <m:cGp/>
            <m:cGpRule/>
            <m:cSp/>
            <m:mcs>
              <m:mc>
                <m:mcPr>
                  <m:mcJc m:val="center"/>
                  <m:count m:val="1"/>
                </m:mcPr>
              </m:mc>
            </m:mcs>
            <m:plcHide m:val="off"/>
            <m:rSp/>
            <m:rSpRule/>
            <m:ctrlPr>
              <w:rPr>
                <w:rFonts w:hint="default" w:ascii="Cambria Math" w:hAnsi="Cambria Math" w:eastAsia="Cambria Math" w:cs="Cambria Math"/>
                <w:i/>
                <w:color w:val="000000"/>
                <w:sz w:val="16"/>
              </w:rPr>
            </m:ctrlPr>
          </m:mPr>
          <m:mr>
            <m:e>
              <m:r>
                <w:rPr>
                  <w:rFonts w:ascii="Cambria Math" w:hAnsi="Cambria Math" w:eastAsia="Cambria Math" w:cs="Cambria Math"/>
                  <w:sz w:val="16"/>
                  <w:szCs w:val="16"/>
                </w:rPr>
                <m:rPr/>
                <m:t>3</m:t>
              </m:r>
              <m:r>
                <w:rPr>
                  <w:rFonts w:ascii="Cambria Math" w:hAnsi="Cambria Math" w:eastAsia="Cambria Math" w:cs="Cambria Math"/>
                  <w:color w:val="ffffff" w:themeColor="background1"/>
                  <w:sz w:val="16"/>
                  <w:szCs w:val="16"/>
                </w:rPr>
                <m:rPr/>
                <m:t>о</m:t>
              </m:r>
            </m:e>
          </m:mr>
          <m:mr>
            <m:e>
              <m:r>
                <w:rPr>
                  <w:rFonts w:ascii="Cambria Math" w:hAnsi="Cambria Math" w:eastAsia="Cambria Math" w:cs="Cambria Math"/>
                  <w:sz w:val="16"/>
                  <w:szCs w:val="16"/>
                </w:rPr>
                <m:rPr/>
                <m:t>сду</m:t>
              </m:r>
            </m:e>
          </m:mr>
        </m:m>
      </m:oMath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K</w:t>
      </w:r>
      <w:r>
        <w:rPr>
          <w:rFonts w:ascii="Times New Roman" w:hAnsi="Times New Roman" w:eastAsia="Times New Roman" w:cs="Times New Roman"/>
          <w:color w:val="000000"/>
          <w:sz w:val="24"/>
        </w:rPr>
      </w:r>
      <m:oMath>
        <m:m>
          <m:mPr>
            <m:baseJc m:val="center"/>
            <m:cGp/>
            <m:cGpRule/>
            <m:cSp/>
            <m:mcs>
              <m:mc>
                <m:mcPr>
                  <m:mcJc m:val="center"/>
                  <m:count m:val="1"/>
                </m:mcPr>
              </m:mc>
            </m:mcs>
            <m:plcHide m:val="off"/>
            <m:rSp/>
            <m:rSpRule/>
            <m:ctrlPr>
              <w:rPr>
                <w:rFonts w:hint="default" w:ascii="Cambria Math" w:hAnsi="Cambria Math" w:eastAsia="Cambria Math" w:cs="Cambria Math"/>
                <w:i/>
                <w:color w:val="000000"/>
                <w:sz w:val="16"/>
              </w:rPr>
            </m:ctrlPr>
          </m:mPr>
          <m:mr>
            <m:e>
              <m:r>
                <w:rPr>
                  <w:rFonts w:ascii="Cambria Math" w:hAnsi="Cambria Math" w:eastAsia="Cambria Math" w:cs="Cambria Math"/>
                  <w:color w:val="ffffff" w:themeColor="background1"/>
                  <w:sz w:val="16"/>
                  <w:szCs w:val="16"/>
                </w:rPr>
                <m:rPr/>
                <m:t>3</m:t>
              </m:r>
              <m:r>
                <w:rPr>
                  <w:rFonts w:ascii="Cambria Math" w:hAnsi="Cambria Math" w:eastAsia="Cambria Math" w:cs="Cambria Math"/>
                  <w:color w:val="ffffff" w:themeColor="background1"/>
                  <w:sz w:val="16"/>
                  <w:szCs w:val="16"/>
                </w:rPr>
                <m:rPr/>
                <m:t>о</m:t>
              </m:r>
            </m:e>
          </m:mr>
          <m:mr>
            <m:e>
              <m:r>
                <w:rPr>
                  <w:rFonts w:ascii="Cambria Math" w:hAnsi="Cambria Math" w:eastAsia="Cambria Math" w:cs="Cambria Math"/>
                  <w:sz w:val="16"/>
                  <w:szCs w:val="16"/>
                </w:rPr>
                <m:rPr/>
                <m:t>об</m:t>
              </m:r>
            </m:e>
          </m:mr>
        </m:m>
      </m:oMath>
      <w:r>
        <w:rPr>
          <w:rFonts w:ascii="Palatino Linotype" w:hAnsi="Palatino Linotype" w:eastAsia="Palatino Linotype" w:cs="Palatino Linotype"/>
          <w:i/>
          <w:color w:val="000000"/>
          <w:sz w:val="20"/>
          <w:szCs w:val="20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где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N</w:t>
      </w:r>
      <w:r>
        <w:rPr>
          <w:rFonts w:ascii="Times New Roman" w:hAnsi="Times New Roman" w:eastAsia="Times New Roman" w:cs="Times New Roman"/>
          <w:color w:val="000000"/>
          <w:sz w:val="24"/>
        </w:rPr>
      </w:r>
      <m:oMath>
        <m:m>
          <m:mPr>
            <m:baseJc m:val="center"/>
            <m:cGp/>
            <m:cGpRule/>
            <m:cSp/>
            <m:mcs>
              <m:mc>
                <m:mcPr>
                  <m:mcJc m:val="center"/>
                  <m:count m:val="1"/>
                </m:mcPr>
              </m:mc>
            </m:mcs>
            <m:plcHide m:val="off"/>
            <m:rSp/>
            <m:rSpRule/>
            <m:ctrlPr>
              <w:rPr>
                <w:rFonts w:ascii="Cambria Math" w:hAnsi="Cambria Math" w:eastAsia="Cambria Math" w:cs="Cambria Math"/>
                <w:i/>
                <w:color w:val="000000"/>
                <w:sz w:val="16"/>
              </w:rPr>
            </m:ctrlPr>
          </m:mPr>
          <m:mr>
            <m:e>
              <m:r>
                <w:rPr>
                  <w:rFonts w:ascii="Cambria Math" w:hAnsi="Cambria Math" w:eastAsia="Cambria Math" w:cs="Cambria Math"/>
                  <w:sz w:val="16"/>
                  <w:szCs w:val="16"/>
                </w:rPr>
                <m:rPr/>
                <m:t>3</m:t>
              </m:r>
              <m:r>
                <w:rPr>
                  <w:rFonts w:ascii="Cambria Math" w:hAnsi="Cambria Math" w:eastAsia="Cambria Math" w:cs="Cambria Math"/>
                  <w:color w:val="ffffff" w:themeColor="background1"/>
                  <w:sz w:val="16"/>
                  <w:szCs w:val="16"/>
                </w:rPr>
                <m:rPr/>
                <m:t>о</m:t>
              </m:r>
            </m:e>
          </m:mr>
          <m:mr>
            <m:e>
              <m:r>
                <w:rPr>
                  <w:rFonts w:ascii="Cambria Math" w:hAnsi="Cambria Math" w:eastAsia="Cambria Math" w:cs="Cambria Math"/>
                  <w:sz w:val="16"/>
                  <w:szCs w:val="16"/>
                </w:rPr>
                <m:rPr/>
                <m:t>сду</m:t>
              </m:r>
            </m:e>
          </m:mr>
        </m:m>
      </m:oMath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– численность граждан, которые приняты на долговременный уход и которым установлен 3 уровень нуждаемости в уходе,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K</w:t>
      </w:r>
      <w:r>
        <w:rPr>
          <w:rFonts w:ascii="Times New Roman" w:hAnsi="Times New Roman" w:eastAsia="Times New Roman" w:cs="Times New Roman"/>
          <w:color w:val="000000"/>
          <w:sz w:val="24"/>
        </w:rPr>
      </w:r>
      <m:oMath>
        <m:m>
          <m:mPr>
            <m:baseJc m:val="center"/>
            <m:cGp/>
            <m:cGpRule/>
            <m:cSp/>
            <m:mcs>
              <m:mc>
                <m:mcPr>
                  <m:mcJc m:val="center"/>
                  <m:count m:val="1"/>
                </m:mcPr>
              </m:mc>
            </m:mcs>
            <m:plcHide m:val="off"/>
            <m:rSp/>
            <m:rSpRule/>
            <m:ctrlPr>
              <w:rPr>
                <w:rFonts w:ascii="Cambria Math" w:hAnsi="Cambria Math" w:eastAsia="Cambria Math" w:cs="Cambria Math"/>
                <w:i/>
                <w:color w:val="000000"/>
                <w:sz w:val="16"/>
              </w:rPr>
            </m:ctrlPr>
          </m:mPr>
          <m:mr>
            <m:e>
              <m:r>
                <w:rPr>
                  <w:rFonts w:ascii="Cambria Math" w:hAnsi="Cambria Math" w:eastAsia="Cambria Math" w:cs="Cambria Math"/>
                  <w:color w:val="ffffff" w:themeColor="background1"/>
                  <w:sz w:val="16"/>
                  <w:szCs w:val="16"/>
                </w:rPr>
                <m:rPr/>
                <m:t>3</m:t>
              </m:r>
              <m:r>
                <w:rPr>
                  <w:rFonts w:ascii="Cambria Math" w:hAnsi="Cambria Math" w:eastAsia="Cambria Math" w:cs="Cambria Math"/>
                  <w:color w:val="ffffff" w:themeColor="background1"/>
                  <w:sz w:val="16"/>
                  <w:szCs w:val="16"/>
                </w:rPr>
                <m:rPr/>
                <m:t>о</m:t>
              </m:r>
            </m:e>
          </m:mr>
          <m:mr>
            <m:e>
              <m:r>
                <w:rPr>
                  <w:rFonts w:ascii="Cambria Math" w:hAnsi="Cambria Math" w:eastAsia="Cambria Math" w:cs="Cambria Math"/>
                  <w:sz w:val="16"/>
                  <w:szCs w:val="16"/>
                </w:rPr>
                <m:rPr/>
                <m:t>об</m:t>
              </m:r>
            </m:e>
          </m:mr>
        </m:m>
      </m:oMath>
      <w:r>
        <w:rPr>
          <w:rFonts w:ascii="Palatino Linotype" w:hAnsi="Palatino Linotype" w:eastAsia="Palatino Linotype" w:cs="Palatino Linotype"/>
          <w:i/>
          <w:color w:val="00000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– средний коэффициент оборота койки (в год).</w:t>
      </w:r>
      <w:r>
        <w:rPr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6838" w:h="11905" w:orient="landscape"/>
      <w:pgMar w:top="1418" w:right="1134" w:bottom="567" w:left="1134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405020303"/>
  </w:font>
  <w:font w:name="Cambria Math">
    <w:panose1 w:val="02000603000000000000"/>
  </w:font>
  <w:font w:name="Times New Roman">
    <w:panose1 w:val="02020603050405020304"/>
  </w:font>
  <w:font w:name="Calibri">
    <w:panose1 w:val="020F05020202040302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622526459"/>
      <w:docPartObj>
        <w:docPartGallery w:val="Page Numbers (Top of Page)"/>
        <w:docPartUnique w:val="true"/>
      </w:docPartObj>
      <w:rPr/>
    </w:sdtPr>
    <w:sdtContent>
      <w:p>
        <w:pPr>
          <w:pStyle w:val="686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3"/>
    <w:next w:val="67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3"/>
    <w:next w:val="67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3"/>
    <w:next w:val="67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3"/>
    <w:next w:val="67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3"/>
    <w:next w:val="67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3"/>
    <w:next w:val="67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3"/>
    <w:next w:val="67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3"/>
    <w:next w:val="67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3"/>
    <w:next w:val="67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3"/>
    <w:next w:val="67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4"/>
    <w:link w:val="34"/>
    <w:uiPriority w:val="10"/>
    <w:rPr>
      <w:sz w:val="48"/>
      <w:szCs w:val="48"/>
    </w:rPr>
  </w:style>
  <w:style w:type="paragraph" w:styleId="36">
    <w:name w:val="Subtitle"/>
    <w:basedOn w:val="673"/>
    <w:next w:val="67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4"/>
    <w:link w:val="36"/>
    <w:uiPriority w:val="11"/>
    <w:rPr>
      <w:sz w:val="24"/>
      <w:szCs w:val="24"/>
    </w:rPr>
  </w:style>
  <w:style w:type="paragraph" w:styleId="38">
    <w:name w:val="Quote"/>
    <w:basedOn w:val="673"/>
    <w:next w:val="67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3"/>
    <w:next w:val="67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4"/>
    <w:link w:val="686"/>
    <w:uiPriority w:val="99"/>
  </w:style>
  <w:style w:type="character" w:styleId="45">
    <w:name w:val="Footer Char"/>
    <w:basedOn w:val="674"/>
    <w:link w:val="688"/>
    <w:uiPriority w:val="99"/>
  </w:style>
  <w:style w:type="paragraph" w:styleId="46">
    <w:name w:val="Caption"/>
    <w:basedOn w:val="673"/>
    <w:next w:val="6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8"/>
    <w:uiPriority w:val="99"/>
  </w:style>
  <w:style w:type="table" w:styleId="48">
    <w:name w:val="Table Grid"/>
    <w:basedOn w:val="67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4"/>
    <w:uiPriority w:val="99"/>
    <w:unhideWhenUsed/>
    <w:rPr>
      <w:vertAlign w:val="superscript"/>
    </w:rPr>
  </w:style>
  <w:style w:type="paragraph" w:styleId="178">
    <w:name w:val="endnote text"/>
    <w:basedOn w:val="67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4"/>
    <w:uiPriority w:val="99"/>
    <w:semiHidden/>
    <w:unhideWhenUsed/>
    <w:rPr>
      <w:vertAlign w:val="superscript"/>
    </w:rPr>
  </w:style>
  <w:style w:type="paragraph" w:styleId="181">
    <w:name w:val="toc 1"/>
    <w:basedOn w:val="673"/>
    <w:next w:val="67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3"/>
    <w:next w:val="67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3"/>
    <w:next w:val="67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3"/>
    <w:next w:val="67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3"/>
    <w:next w:val="67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3"/>
    <w:next w:val="67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3"/>
    <w:next w:val="67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3"/>
    <w:next w:val="67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3"/>
    <w:next w:val="67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3"/>
    <w:next w:val="673"/>
    <w:uiPriority w:val="99"/>
    <w:unhideWhenUsed/>
    <w:pPr>
      <w:spacing w:after="0" w:afterAutospacing="0"/>
    </w:pPr>
  </w:style>
  <w:style w:type="paragraph" w:styleId="673" w:default="1">
    <w:name w:val="Normal"/>
    <w:qFormat/>
  </w:style>
  <w:style w:type="character" w:styleId="674" w:default="1">
    <w:name w:val="Default Paragraph Font"/>
    <w:uiPriority w:val="1"/>
    <w:semiHidden/>
    <w:unhideWhenUsed/>
  </w:style>
  <w:style w:type="table" w:styleId="6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6" w:default="1">
    <w:name w:val="No List"/>
    <w:uiPriority w:val="99"/>
    <w:semiHidden/>
    <w:unhideWhenUsed/>
  </w:style>
  <w:style w:type="paragraph" w:styleId="677">
    <w:name w:val="List Paragraph"/>
    <w:basedOn w:val="673"/>
    <w:uiPriority w:val="34"/>
    <w:qFormat/>
    <w:pPr>
      <w:contextualSpacing/>
      <w:ind w:left="720"/>
    </w:pPr>
  </w:style>
  <w:style w:type="paragraph" w:styleId="678">
    <w:name w:val="Balloon Text"/>
    <w:basedOn w:val="673"/>
    <w:link w:val="67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79" w:customStyle="1">
    <w:name w:val="Текст выноски Знак"/>
    <w:basedOn w:val="674"/>
    <w:link w:val="678"/>
    <w:uiPriority w:val="99"/>
    <w:semiHidden/>
    <w:rPr>
      <w:rFonts w:ascii="Segoe UI" w:hAnsi="Segoe UI" w:cs="Segoe UI"/>
      <w:sz w:val="18"/>
      <w:szCs w:val="18"/>
    </w:rPr>
  </w:style>
  <w:style w:type="paragraph" w:styleId="680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character" w:styleId="681">
    <w:name w:val="annotation reference"/>
    <w:basedOn w:val="674"/>
    <w:uiPriority w:val="99"/>
    <w:semiHidden/>
    <w:unhideWhenUsed/>
    <w:rPr>
      <w:sz w:val="16"/>
      <w:szCs w:val="16"/>
    </w:rPr>
  </w:style>
  <w:style w:type="paragraph" w:styleId="682">
    <w:name w:val="annotation text"/>
    <w:basedOn w:val="673"/>
    <w:link w:val="683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683" w:customStyle="1">
    <w:name w:val="Текст примечания Знак"/>
    <w:basedOn w:val="674"/>
    <w:link w:val="682"/>
    <w:uiPriority w:val="99"/>
    <w:semiHidden/>
    <w:rPr>
      <w:sz w:val="20"/>
      <w:szCs w:val="20"/>
    </w:rPr>
  </w:style>
  <w:style w:type="paragraph" w:styleId="684">
    <w:name w:val="annotation subject"/>
    <w:basedOn w:val="682"/>
    <w:next w:val="682"/>
    <w:link w:val="685"/>
    <w:uiPriority w:val="99"/>
    <w:semiHidden/>
    <w:unhideWhenUsed/>
    <w:rPr>
      <w:b/>
      <w:bCs/>
    </w:rPr>
  </w:style>
  <w:style w:type="character" w:styleId="685" w:customStyle="1">
    <w:name w:val="Тема примечания Знак"/>
    <w:basedOn w:val="683"/>
    <w:link w:val="684"/>
    <w:uiPriority w:val="99"/>
    <w:semiHidden/>
    <w:rPr>
      <w:b/>
      <w:bCs/>
      <w:sz w:val="20"/>
      <w:szCs w:val="20"/>
    </w:rPr>
  </w:style>
  <w:style w:type="paragraph" w:styleId="686">
    <w:name w:val="Header"/>
    <w:basedOn w:val="673"/>
    <w:link w:val="68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7" w:customStyle="1">
    <w:name w:val="Верхний колонтитул Знак"/>
    <w:basedOn w:val="674"/>
    <w:link w:val="686"/>
    <w:uiPriority w:val="99"/>
  </w:style>
  <w:style w:type="paragraph" w:styleId="688">
    <w:name w:val="Footer"/>
    <w:basedOn w:val="673"/>
    <w:link w:val="68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9" w:customStyle="1">
    <w:name w:val="Нижний колонтитул Знак"/>
    <w:basedOn w:val="674"/>
    <w:link w:val="688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Колчина Анастасия Владимировна</dc:creator>
  <cp:keywords/>
  <dc:description/>
  <cp:revision>17</cp:revision>
  <dcterms:created xsi:type="dcterms:W3CDTF">2023-02-08T10:56:00Z</dcterms:created>
  <dcterms:modified xsi:type="dcterms:W3CDTF">2024-01-29T09:25:18Z</dcterms:modified>
</cp:coreProperties>
</file>