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left="0" w:right="0"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549" cy="655747"/>
                <wp:effectExtent l="0" t="0" r="0" b="0"/>
                <wp:docPr id="2" name="_x0000_i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3446732" name=""/>
                        <pic:cNvPicPr/>
                        <pic:nvPr/>
                      </pic:nvPicPr>
                      <pic:blipFill>
                        <a:blip r:embed="rId10"/>
                        <a:srcRect l="-921" t="-777" r="-921" b="-777"/>
                        <a:stretch/>
                      </pic:blipFill>
                      <pic:spPr bwMode="auto">
                        <a:xfrm>
                          <a:off x="0" y="0"/>
                          <a:ext cx="550548" cy="65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35pt;height:51.63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21"/>
        <w:ind w:left="0" w:right="0" w:firstLine="0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21"/>
        <w:ind w:left="0" w:right="0" w:firstLine="0"/>
        <w:rPr>
          <w:sz w:val="27"/>
          <w:szCs w:val="27"/>
          <w:highlight w:val="none"/>
        </w:rPr>
      </w:pPr>
      <w:r>
        <w:rPr>
          <w:bCs/>
          <w:sz w:val="27"/>
          <w:szCs w:val="27"/>
        </w:rPr>
        <w:t xml:space="preserve">МИНИСТЕРСТВО </w:t>
      </w:r>
      <w:r>
        <w:rPr>
          <w:bCs/>
          <w:sz w:val="27"/>
          <w:szCs w:val="27"/>
        </w:rPr>
        <w:t xml:space="preserve">СТРОИТЕЛЬСТВА </w:t>
      </w:r>
      <w:r>
        <w:rPr>
          <w:bCs/>
          <w:sz w:val="27"/>
          <w:szCs w:val="27"/>
        </w:rPr>
        <w:t xml:space="preserve">НОВОСИБИРСКОЙ ОБЛАСТИ</w:t>
      </w:r>
      <w:r/>
    </w:p>
    <w:p>
      <w:pPr>
        <w:pStyle w:val="921"/>
        <w:ind w:left="0" w:right="0" w:firstLine="0"/>
      </w:pPr>
      <w:r/>
      <w:r/>
    </w:p>
    <w:p>
      <w:pPr>
        <w:pStyle w:val="88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83"/>
        <w:jc w:val="center"/>
      </w:pPr>
      <w:r>
        <w:rPr>
          <w:b/>
          <w:sz w:val="27"/>
          <w:szCs w:val="27"/>
        </w:rPr>
        <w:t xml:space="preserve">ПОЯСНИТЕЛЬНАЯ ЗАПИСКА</w:t>
      </w:r>
      <w:r/>
    </w:p>
    <w:p>
      <w:pPr>
        <w:pStyle w:val="883"/>
        <w:ind w:left="0" w:right="0" w:firstLine="220"/>
        <w:jc w:val="center"/>
        <w:widowControl w:val="off"/>
      </w:pPr>
      <w:r>
        <w:rPr>
          <w:b/>
          <w:sz w:val="27"/>
          <w:szCs w:val="27"/>
        </w:rPr>
        <w:t xml:space="preserve">к проекту постановления Правительства </w:t>
      </w:r>
      <w:r>
        <w:rPr>
          <w:b/>
          <w:bCs/>
          <w:sz w:val="27"/>
          <w:szCs w:val="27"/>
        </w:rPr>
        <w:t xml:space="preserve">Новосибирской области</w:t>
      </w:r>
      <w:r>
        <w:rPr>
          <w:b/>
          <w:sz w:val="27"/>
          <w:szCs w:val="27"/>
        </w:rPr>
        <w:t xml:space="preserve"> </w:t>
      </w:r>
      <w:r/>
    </w:p>
    <w:p>
      <w:pPr>
        <w:pStyle w:val="883"/>
        <w:ind w:left="0" w:right="0" w:firstLine="220"/>
        <w:jc w:val="center"/>
        <w:widowControl w:val="off"/>
      </w:pPr>
      <w:r>
        <w:rPr>
          <w:b/>
          <w:sz w:val="27"/>
          <w:szCs w:val="27"/>
        </w:rPr>
        <w:t xml:space="preserve">«О внесении изменений в постановление Правительства </w:t>
      </w:r>
      <w:r/>
    </w:p>
    <w:p>
      <w:pPr>
        <w:pStyle w:val="883"/>
        <w:jc w:val="center"/>
      </w:pPr>
      <w:r>
        <w:rPr>
          <w:b/>
          <w:sz w:val="27"/>
          <w:szCs w:val="27"/>
        </w:rPr>
        <w:t xml:space="preserve">Новосибирской области от </w:t>
      </w:r>
      <w:r>
        <w:rPr>
          <w:rFonts w:eastAsia="Times New Roman" w:cs="Times New Roman"/>
          <w:b/>
          <w:color w:val="auto"/>
          <w:sz w:val="27"/>
          <w:szCs w:val="27"/>
          <w:lang w:val="ru-RU" w:eastAsia="zh-CN" w:bidi="ar-SA"/>
        </w:rPr>
        <w:t xml:space="preserve">13.11.2013 </w:t>
      </w:r>
      <w:r>
        <w:rPr>
          <w:b/>
          <w:sz w:val="27"/>
          <w:szCs w:val="27"/>
        </w:rPr>
        <w:t xml:space="preserve">№ 4</w:t>
      </w:r>
      <w:r>
        <w:rPr>
          <w:rFonts w:eastAsia="Times New Roman" w:cs="Times New Roman"/>
          <w:b/>
          <w:color w:val="auto"/>
          <w:sz w:val="27"/>
          <w:szCs w:val="27"/>
          <w:lang w:val="ru-RU" w:eastAsia="zh-CN" w:bidi="ar-SA"/>
        </w:rPr>
        <w:t xml:space="preserve">89</w:t>
      </w:r>
      <w:r>
        <w:rPr>
          <w:b/>
          <w:sz w:val="27"/>
          <w:szCs w:val="27"/>
        </w:rPr>
        <w:t xml:space="preserve">-п»</w:t>
      </w:r>
      <w:r/>
    </w:p>
    <w:p>
      <w:pPr>
        <w:pStyle w:val="8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917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13.11.2013</w:t>
      </w:r>
      <w:r>
        <w:rPr>
          <w:rFonts w:ascii="Times New Roman" w:hAnsi="Times New Roman" w:cs="Times New Roman"/>
          <w:sz w:val="28"/>
          <w:szCs w:val="28"/>
        </w:rPr>
        <w:t xml:space="preserve"> № 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89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предварительного согласования схем размещения рекламных конструкций и вносимых в них изменений</w:t>
      </w:r>
      <w:r>
        <w:rPr>
          <w:rFonts w:ascii="Times New Roman" w:hAnsi="Times New Roman" w:cs="Times New Roman"/>
          <w:sz w:val="28"/>
          <w:szCs w:val="28"/>
        </w:rPr>
        <w:t xml:space="preserve">» (далее 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постановление от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13.11.2013</w:t>
      </w:r>
      <w:r>
        <w:rPr>
          <w:rFonts w:ascii="Times New Roman" w:hAnsi="Times New Roman" w:cs="Times New Roman"/>
          <w:sz w:val="28"/>
          <w:szCs w:val="28"/>
        </w:rPr>
        <w:t xml:space="preserve"> № 489-п) определена процедура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государственной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или муниципальной собственности, и вносимых в них изменений.</w:t>
      </w:r>
      <w:r/>
    </w:p>
    <w:p>
      <w:pPr>
        <w:pStyle w:val="917"/>
        <w:ind w:left="0" w:right="0" w:firstLine="709"/>
        <w:jc w:val="both"/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 «О внесении изменений в постановление Правительства Новосибирской области от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13.11.2013</w:t>
      </w:r>
      <w:r>
        <w:rPr>
          <w:rFonts w:ascii="Times New Roman" w:hAnsi="Times New Roman" w:cs="Times New Roman"/>
          <w:sz w:val="28"/>
          <w:szCs w:val="28"/>
        </w:rPr>
        <w:t xml:space="preserve"> № 489-п»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(далее – проект постановления) разработан в связи с поступлением в министерство строительства Новосибирской области заключения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министерства экономического развития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 15.04.2024 № 2-э (далее 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 Заключение) об экспертизе постановления от 13.11.2013 № 489-п, а также в целях приведения законодательства Новосибирской области в соответствие с законодательством Российской Федерации.</w:t>
      </w:r>
      <w:r/>
    </w:p>
    <w:p>
      <w:pPr>
        <w:pStyle w:val="917"/>
        <w:ind w:left="0" w:right="0" w:firstLine="709"/>
        <w:jc w:val="both"/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В соответствии с Заключением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требуется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bidi="ar-SA"/>
        </w:rPr>
        <w:t xml:space="preserve">внести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bidi="ar-SA"/>
        </w:rPr>
        <w:t xml:space="preserve">в постановление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 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13.11.2013</w:t>
      </w:r>
      <w:r>
        <w:rPr>
          <w:rFonts w:ascii="Times New Roman" w:hAnsi="Times New Roman" w:eastAsia="Calibri" w:cs="Times New Roman"/>
          <w:sz w:val="28"/>
          <w:szCs w:val="28"/>
        </w:rPr>
        <w:t xml:space="preserve"> № 4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89</w:t>
      </w:r>
      <w:r>
        <w:rPr>
          <w:rFonts w:ascii="Times New Roman" w:hAnsi="Times New Roman" w:eastAsia="Calibri" w:cs="Times New Roman"/>
          <w:sz w:val="28"/>
          <w:szCs w:val="28"/>
        </w:rPr>
        <w:t xml:space="preserve">-п изменени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части дополнения Порядка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предварительного согласования схем размещения рекламных конструкций и вносимых в них изменений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(далее  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 Порядок № 489-п) положениями:</w:t>
      </w:r>
      <w:r/>
    </w:p>
    <w:p>
      <w:pPr>
        <w:pStyle w:val="917"/>
        <w:ind w:left="0" w:right="0" w:firstLine="709"/>
        <w:jc w:val="both"/>
      </w:pPr>
      <w:r>
        <w:rPr>
          <w:rFonts w:ascii="Times New Roman" w:hAnsi="Times New Roman" w:eastAsia="Calibri" w:cs="Times New Roman"/>
          <w:sz w:val="28"/>
          <w:szCs w:val="28"/>
        </w:rPr>
        <w:t xml:space="preserve">о необходимости приложения к схеме размещения рекламной конструкции, представляемой на предварительное согласование, копии муниципального нормативного правового акта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обеспечивающего прозрачность (открытость) принятия решения о включении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 отказе во включении в схему определенного места по предложению субъектов предпринимательской деятельности, который содержит перечень условий, при которых возможно и (или) невозможно включение в схему рекламных мест, предложенных рекламораспространителем;</w:t>
      </w:r>
      <w:r/>
    </w:p>
    <w:p>
      <w:pPr>
        <w:pStyle w:val="917"/>
        <w:ind w:left="0" w:right="0" w:firstLine="709"/>
        <w:jc w:val="both"/>
      </w:pPr>
      <w:r>
        <w:rPr>
          <w:rFonts w:ascii="Times New Roman" w:hAnsi="Times New Roman" w:eastAsia="Calibri" w:cs="Times New Roman"/>
          <w:sz w:val="28"/>
          <w:szCs w:val="28"/>
        </w:rPr>
        <w:t xml:space="preserve">о том, что отсутствие копии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 нормативного правового акта</w:t>
      </w:r>
      <w:r/>
      <w:r>
        <w:rPr>
          <w:rFonts w:ascii="Times New Roman" w:hAnsi="Times New Roman" w:eastAsia="Calibri" w:cs="Times New Roman"/>
          <w:sz w:val="28"/>
          <w:szCs w:val="28"/>
        </w:rPr>
        <w:t xml:space="preserve"> является основанием для возврата схемы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 образования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pStyle w:val="917"/>
        <w:ind w:left="0" w:right="0" w:firstLine="709"/>
        <w:jc w:val="both"/>
      </w:pPr>
      <w:r>
        <w:rPr>
          <w:rFonts w:ascii="Times New Roman" w:hAnsi="Times New Roman" w:eastAsia="Calibri" w:cs="Times New Roman"/>
          <w:sz w:val="28"/>
          <w:szCs w:val="28"/>
        </w:rPr>
        <w:t xml:space="preserve">Кроме того, проектом постановления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текст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Порядка № 489-п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приводится в соответствие с Федеральным законом от 13.03.2006 № 38-ФЗ «О рекламе», включая в него упоминание о муниципальных округах.</w:t>
      </w:r>
      <w:r/>
    </w:p>
    <w:p>
      <w:pPr>
        <w:pStyle w:val="917"/>
        <w:ind w:left="0" w:right="0" w:firstLine="709"/>
        <w:jc w:val="both"/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Также в тексте Порядка № 48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zh-CN" w:bidi="ar-SA"/>
        </w:rPr>
        <w:t xml:space="preserve">9-п предлагается заменить полное наименование «Управление по государственной охране объектов культурного наследия Новосибирской области» на «Государственная инспекция по охране объектов культурного наследия Новосибирской области» в виду его преобразования.</w:t>
      </w:r>
      <w:r/>
    </w:p>
    <w:p>
      <w:pPr>
        <w:pStyle w:val="883"/>
        <w:ind w:left="0" w:right="0" w:firstLine="709"/>
        <w:jc w:val="both"/>
      </w:pPr>
      <w:r>
        <w:rPr>
          <w:sz w:val="28"/>
          <w:szCs w:val="28"/>
        </w:rPr>
        <w:t xml:space="preserve">Проект постановления не подлежит оценке регулирующего воздействия в связи с тем, что не содержит положений, устанавливающих новые или изменяющих ранее предусмотренные нормативными правовыми актами обязанности для субъектов предприни</w:t>
      </w:r>
      <w:r>
        <w:rPr>
          <w:sz w:val="28"/>
          <w:szCs w:val="28"/>
        </w:rPr>
        <w:t xml:space="preserve">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  <w:r/>
    </w:p>
    <w:p>
      <w:pPr>
        <w:jc w:val="both"/>
        <w:rPr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  <w:highlight w:val="none"/>
          <w:lang w:val="ru-RU" w:eastAsia="zh-CN" w:bidi="ar-SA"/>
        </w:rPr>
      </w:r>
      <w:r>
        <w:rPr>
          <w:sz w:val="28"/>
          <w:szCs w:val="28"/>
        </w:rPr>
      </w:r>
    </w:p>
    <w:p>
      <w:pPr>
        <w:jc w:val="both"/>
        <w:rPr>
          <w:rFonts w:eastAsia="Calibri" w:cs="Times New Roman"/>
          <w:color w:val="auto"/>
          <w:sz w:val="28"/>
          <w:szCs w:val="28"/>
          <w:highlight w:val="none"/>
          <w:lang w:val="ru-RU" w:eastAsia="zh-CN" w:bidi="ar-SA"/>
        </w:rPr>
      </w:pPr>
      <w:r>
        <w:rPr>
          <w:rFonts w:eastAsia="Calibri" w:cs="Times New Roman"/>
          <w:color w:val="auto"/>
          <w:sz w:val="28"/>
          <w:szCs w:val="28"/>
          <w:highlight w:val="none"/>
          <w:lang w:val="ru-RU" w:eastAsia="zh-CN" w:bidi="ar-SA"/>
        </w:rPr>
      </w:r>
      <w:r>
        <w:rPr>
          <w:rFonts w:eastAsia="Calibri" w:cs="Times New Roman"/>
          <w:color w:val="auto"/>
          <w:sz w:val="28"/>
          <w:szCs w:val="28"/>
          <w:highlight w:val="none"/>
          <w:lang w:val="ru-RU" w:eastAsia="zh-CN" w:bidi="ar-SA"/>
        </w:rPr>
      </w:r>
    </w:p>
    <w:p>
      <w:pPr>
        <w:jc w:val="both"/>
        <w:rPr>
          <w:rFonts w:eastAsia="Calibri" w:cs="Times New Roman"/>
          <w:color w:val="auto"/>
          <w:sz w:val="28"/>
          <w:szCs w:val="28"/>
          <w:highlight w:val="none"/>
          <w:lang w:val="ru-RU" w:eastAsia="zh-CN" w:bidi="ar-SA"/>
        </w:rPr>
      </w:pPr>
      <w:r>
        <w:rPr>
          <w:rFonts w:eastAsia="Calibri" w:cs="Times New Roman"/>
          <w:color w:val="auto"/>
          <w:sz w:val="28"/>
          <w:szCs w:val="28"/>
          <w:highlight w:val="none"/>
          <w:lang w:val="ru-RU" w:eastAsia="zh-CN" w:bidi="ar-SA"/>
        </w:rPr>
      </w:r>
      <w:r>
        <w:rPr>
          <w:rFonts w:eastAsia="Calibri" w:cs="Times New Roman"/>
          <w:color w:val="auto"/>
          <w:sz w:val="28"/>
          <w:szCs w:val="28"/>
          <w:highlight w:val="none"/>
          <w:lang w:val="ru-RU" w:eastAsia="zh-CN" w:bidi="ar-SA"/>
        </w:rPr>
      </w:r>
    </w:p>
    <w:p>
      <w:pPr>
        <w:pStyle w:val="883"/>
        <w:jc w:val="both"/>
        <w:rPr>
          <w:rFonts w:eastAsia="Calibri" w:cs="Times New Roman"/>
          <w:color w:val="auto"/>
          <w:sz w:val="28"/>
          <w:szCs w:val="28"/>
          <w:highlight w:val="none"/>
          <w:lang w:val="ru-RU" w:eastAsia="zh-CN" w:bidi="ar-SA"/>
        </w:rPr>
      </w:pPr>
      <w:r>
        <w:rPr>
          <w:sz w:val="28"/>
          <w:szCs w:val="28"/>
        </w:rPr>
        <w:t xml:space="preserve">И.о. министра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</w:t>
      </w:r>
      <w:r>
        <w:rPr>
          <w:rFonts w:eastAsia="Calibri" w:cs="Times New Roman"/>
          <w:color w:val="auto"/>
          <w:sz w:val="28"/>
          <w:szCs w:val="28"/>
          <w:lang w:val="ru-RU" w:eastAsia="zh-CN" w:bidi="ar-SA"/>
        </w:rPr>
        <w:t xml:space="preserve">Д.С. Тимонов</w:t>
      </w:r>
      <w:r/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83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83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83"/>
        <w:jc w:val="both"/>
      </w:pPr>
      <w:r>
        <w:rPr>
          <w:rFonts w:eastAsia="Calibri"/>
          <w:sz w:val="20"/>
          <w:szCs w:val="20"/>
        </w:rPr>
        <w:t xml:space="preserve">А.Н. Сербова</w:t>
      </w:r>
      <w:r/>
    </w:p>
    <w:p>
      <w:pPr>
        <w:pStyle w:val="883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228-64-76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sectPr>
      <w:headerReference w:type="default" r:id="rId8"/>
      <w:headerReference w:type="first" r:id="rId9"/>
      <w:footnotePr>
        <w:numRestart w:val="continuous"/>
      </w:footnotePr>
      <w:endnotePr/>
      <w:type w:val="nextPage"/>
      <w:pgSz w:w="11906" w:h="16838" w:orient="portrait"/>
      <w:pgMar w:top="1134" w:right="567" w:bottom="993" w:left="1418" w:header="720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sz w:val="26"/>
        <w:szCs w:val="26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5880" cy="13398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880" cy="13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15"/>
                          </w:pPr>
                          <w:r>
                            <w:rPr>
                              <w:rStyle w:val="905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9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Style w:val="905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Style w:val="905"/>
                              <w:sz w:val="19"/>
                              <w:szCs w:val="19"/>
                            </w:rPr>
                            <w:t xml:space="preserve">2</w:t>
                          </w:r>
                          <w:r>
                            <w:rPr>
                              <w:rStyle w:val="905"/>
                              <w:sz w:val="19"/>
                              <w:szCs w:val="19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83"/>
                          </w:pPr>
                          <w:r/>
                          <w:r/>
                        </w:p>
                      </w:txbxContent>
                    </wps:txbx>
                    <wps:bodyPr wrap="square" lIns="4445" tIns="4445" rIns="4445" bIns="444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05pt;mso-position-vertical:absolute;width:4.40pt;height:10.5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15"/>
                    </w:pPr>
                    <w:r>
                      <w:rPr>
                        <w:rStyle w:val="905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905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Style w:val="905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Style w:val="905"/>
                        <w:sz w:val="19"/>
                        <w:szCs w:val="19"/>
                      </w:rPr>
                      <w:t xml:space="preserve">2</w:t>
                    </w:r>
                    <w:r>
                      <w:rPr>
                        <w:rStyle w:val="905"/>
                        <w:sz w:val="19"/>
                        <w:szCs w:val="19"/>
                      </w:rPr>
                      <w:fldChar w:fldCharType="end"/>
                    </w:r>
                    <w:r/>
                  </w:p>
                  <w:p>
                    <w:pPr>
                      <w:pStyle w:val="883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3"/>
    <w:next w:val="883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3"/>
    <w:next w:val="883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3"/>
    <w:next w:val="883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3"/>
    <w:next w:val="883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3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3"/>
    <w:next w:val="883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3"/>
    <w:next w:val="883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3"/>
    <w:next w:val="883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3"/>
    <w:next w:val="883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3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3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3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3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3"/>
    <w:next w:val="883"/>
    <w:uiPriority w:val="99"/>
    <w:unhideWhenUsed/>
    <w:pPr>
      <w:spacing w:after="0" w:afterAutospacing="0"/>
    </w:pPr>
  </w:style>
  <w:style w:type="table" w:styleId="8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3" w:default="1">
    <w:name w:val="Normal"/>
    <w:next w:val="883"/>
    <w:link w:val="883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884">
    <w:name w:val="WW8Num1z0"/>
    <w:next w:val="884"/>
    <w:link w:val="883"/>
    <w:rPr>
      <w:color w:val="000000"/>
    </w:rPr>
  </w:style>
  <w:style w:type="character" w:styleId="885">
    <w:name w:val="WW8Num1z1"/>
    <w:next w:val="885"/>
    <w:link w:val="883"/>
  </w:style>
  <w:style w:type="character" w:styleId="886">
    <w:name w:val="WW8Num1z2"/>
    <w:next w:val="886"/>
    <w:link w:val="883"/>
  </w:style>
  <w:style w:type="character" w:styleId="887">
    <w:name w:val="WW8Num1z3"/>
    <w:next w:val="887"/>
    <w:link w:val="883"/>
  </w:style>
  <w:style w:type="character" w:styleId="888">
    <w:name w:val="WW8Num1z4"/>
    <w:next w:val="888"/>
    <w:link w:val="883"/>
  </w:style>
  <w:style w:type="character" w:styleId="889">
    <w:name w:val="WW8Num1z5"/>
    <w:next w:val="889"/>
    <w:link w:val="883"/>
  </w:style>
  <w:style w:type="character" w:styleId="890">
    <w:name w:val="WW8Num1z6"/>
    <w:next w:val="890"/>
    <w:link w:val="883"/>
  </w:style>
  <w:style w:type="character" w:styleId="891">
    <w:name w:val="WW8Num1z7"/>
    <w:next w:val="891"/>
    <w:link w:val="883"/>
  </w:style>
  <w:style w:type="character" w:styleId="892">
    <w:name w:val="WW8Num1z8"/>
    <w:next w:val="892"/>
    <w:link w:val="883"/>
  </w:style>
  <w:style w:type="character" w:styleId="893">
    <w:name w:val="WW8Num2z0"/>
    <w:next w:val="893"/>
    <w:link w:val="883"/>
  </w:style>
  <w:style w:type="character" w:styleId="894">
    <w:name w:val="WW8Num3z0"/>
    <w:next w:val="894"/>
    <w:link w:val="883"/>
  </w:style>
  <w:style w:type="character" w:styleId="895">
    <w:name w:val="WW8Num3z1"/>
    <w:next w:val="895"/>
    <w:link w:val="883"/>
  </w:style>
  <w:style w:type="character" w:styleId="896">
    <w:name w:val="WW8Num3z2"/>
    <w:next w:val="896"/>
    <w:link w:val="883"/>
  </w:style>
  <w:style w:type="character" w:styleId="897">
    <w:name w:val="WW8Num3z3"/>
    <w:next w:val="897"/>
    <w:link w:val="883"/>
  </w:style>
  <w:style w:type="character" w:styleId="898">
    <w:name w:val="WW8Num3z4"/>
    <w:next w:val="898"/>
    <w:link w:val="883"/>
  </w:style>
  <w:style w:type="character" w:styleId="899">
    <w:name w:val="WW8Num3z5"/>
    <w:next w:val="899"/>
    <w:link w:val="883"/>
  </w:style>
  <w:style w:type="character" w:styleId="900">
    <w:name w:val="WW8Num3z6"/>
    <w:next w:val="900"/>
    <w:link w:val="883"/>
  </w:style>
  <w:style w:type="character" w:styleId="901">
    <w:name w:val="WW8Num3z7"/>
    <w:next w:val="901"/>
    <w:link w:val="883"/>
  </w:style>
  <w:style w:type="character" w:styleId="902">
    <w:name w:val="WW8Num3z8"/>
    <w:next w:val="902"/>
    <w:link w:val="883"/>
  </w:style>
  <w:style w:type="character" w:styleId="903">
    <w:name w:val="WW8Num4z0"/>
    <w:next w:val="903"/>
    <w:link w:val="883"/>
  </w:style>
  <w:style w:type="character" w:styleId="904">
    <w:name w:val="Основной шрифт абзаца"/>
    <w:next w:val="904"/>
    <w:link w:val="883"/>
  </w:style>
  <w:style w:type="character" w:styleId="905">
    <w:name w:val="Номер страницы"/>
    <w:next w:val="905"/>
    <w:link w:val="883"/>
    <w:rPr>
      <w:sz w:val="20"/>
    </w:rPr>
  </w:style>
  <w:style w:type="character" w:styleId="906">
    <w:name w:val="Текст выноски Знак"/>
    <w:next w:val="906"/>
    <w:link w:val="883"/>
    <w:rPr>
      <w:rFonts w:ascii="Segoe UI" w:hAnsi="Segoe UI" w:cs="Segoe UI"/>
      <w:sz w:val="18"/>
      <w:szCs w:val="18"/>
    </w:rPr>
  </w:style>
  <w:style w:type="character" w:styleId="907">
    <w:name w:val="Нижний колонтитул Знак"/>
    <w:basedOn w:val="904"/>
    <w:next w:val="907"/>
    <w:link w:val="883"/>
  </w:style>
  <w:style w:type="character" w:styleId="908">
    <w:name w:val="Интернет-ссылка"/>
    <w:next w:val="908"/>
    <w:link w:val="883"/>
    <w:rPr>
      <w:color w:val="0000ff"/>
      <w:u w:val="single"/>
    </w:rPr>
  </w:style>
  <w:style w:type="paragraph" w:styleId="909">
    <w:name w:val="Заголовок"/>
    <w:basedOn w:val="883"/>
    <w:next w:val="910"/>
    <w:link w:val="883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10">
    <w:name w:val="Основной текст"/>
    <w:basedOn w:val="883"/>
    <w:next w:val="910"/>
    <w:link w:val="883"/>
    <w:pPr>
      <w:spacing w:before="0" w:after="120"/>
    </w:pPr>
  </w:style>
  <w:style w:type="paragraph" w:styleId="911">
    <w:name w:val="Список"/>
    <w:basedOn w:val="910"/>
    <w:next w:val="911"/>
    <w:link w:val="883"/>
    <w:rPr>
      <w:rFonts w:cs="Droid Sans Devanagari"/>
    </w:rPr>
  </w:style>
  <w:style w:type="paragraph" w:styleId="912">
    <w:name w:val="Название"/>
    <w:basedOn w:val="883"/>
    <w:next w:val="912"/>
    <w:link w:val="883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13">
    <w:name w:val="Указатель"/>
    <w:basedOn w:val="883"/>
    <w:next w:val="913"/>
    <w:link w:val="883"/>
    <w:pPr>
      <w:suppressLineNumbers/>
    </w:pPr>
    <w:rPr>
      <w:rFonts w:cs="Droid Sans Devanagari"/>
    </w:rPr>
  </w:style>
  <w:style w:type="paragraph" w:styleId="914">
    <w:name w:val="Верхний и нижний колонтитулы"/>
    <w:basedOn w:val="883"/>
    <w:next w:val="914"/>
    <w:link w:val="883"/>
    <w:pPr>
      <w:tabs>
        <w:tab w:val="center" w:pos="4819" w:leader="none"/>
        <w:tab w:val="right" w:pos="9638" w:leader="none"/>
      </w:tabs>
      <w:suppressLineNumbers/>
    </w:pPr>
  </w:style>
  <w:style w:type="paragraph" w:styleId="915">
    <w:name w:val="Верхний колонтитул"/>
    <w:basedOn w:val="883"/>
    <w:next w:val="915"/>
    <w:link w:val="883"/>
  </w:style>
  <w:style w:type="paragraph" w:styleId="916">
    <w:name w:val="Схема документа"/>
    <w:basedOn w:val="883"/>
    <w:next w:val="916"/>
    <w:link w:val="883"/>
    <w:pPr>
      <w:shd w:val="clear" w:color="auto" w:fill="000080"/>
    </w:pPr>
    <w:rPr>
      <w:rFonts w:ascii="Tahoma" w:hAnsi="Tahoma" w:cs="Tahoma"/>
    </w:rPr>
  </w:style>
  <w:style w:type="paragraph" w:styleId="917">
    <w:name w:val="ConsPlusNormal"/>
    <w:next w:val="917"/>
    <w:link w:val="883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18">
    <w:name w:val="Абзац списка"/>
    <w:basedOn w:val="883"/>
    <w:next w:val="918"/>
    <w:link w:val="883"/>
    <w:pPr>
      <w:contextualSpacing/>
      <w:ind w:left="720" w:right="0" w:firstLine="0"/>
      <w:spacing w:before="0" w:after="0"/>
    </w:pPr>
  </w:style>
  <w:style w:type="paragraph" w:styleId="919">
    <w:name w:val="Текст выноски"/>
    <w:basedOn w:val="883"/>
    <w:next w:val="919"/>
    <w:link w:val="883"/>
    <w:rPr>
      <w:rFonts w:ascii="Segoe UI" w:hAnsi="Segoe UI" w:cs="Segoe UI"/>
      <w:sz w:val="18"/>
      <w:szCs w:val="18"/>
      <w:lang w:val="en-US"/>
    </w:rPr>
  </w:style>
  <w:style w:type="paragraph" w:styleId="920">
    <w:name w:val="Нижний колонтитул"/>
    <w:basedOn w:val="883"/>
    <w:next w:val="920"/>
    <w:link w:val="883"/>
    <w:pPr>
      <w:tabs>
        <w:tab w:val="center" w:pos="4677" w:leader="none"/>
        <w:tab w:val="right" w:pos="9355" w:leader="none"/>
      </w:tabs>
    </w:pPr>
  </w:style>
  <w:style w:type="paragraph" w:styleId="921">
    <w:name w:val="заголовок 2"/>
    <w:basedOn w:val="883"/>
    <w:next w:val="883"/>
    <w:link w:val="883"/>
    <w:pPr>
      <w:ind w:left="0" w:right="0" w:firstLine="720"/>
      <w:jc w:val="center"/>
      <w:keepNext/>
    </w:pPr>
    <w:rPr>
      <w:b/>
      <w:sz w:val="28"/>
    </w:rPr>
  </w:style>
  <w:style w:type="paragraph" w:styleId="922">
    <w:name w:val="Default"/>
    <w:next w:val="922"/>
    <w:link w:val="883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923">
    <w:name w:val="Содержимое врезки"/>
    <w:basedOn w:val="883"/>
    <w:next w:val="923"/>
    <w:link w:val="883"/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19.12.2022 N 541-ФЗ"О внесении изменений в Градостроительный кодекс Российской Федерации и статью 18.1 Федерального закона "О защите конкуренции"</dc:title>
  <dc:creator>Vlogutov</dc:creator>
  <cp:revision>30</cp:revision>
  <dcterms:created xsi:type="dcterms:W3CDTF">2024-05-20T05:56:00Z</dcterms:created>
  <dcterms:modified xsi:type="dcterms:W3CDTF">2024-09-12T07:44:28Z</dcterms:modified>
</cp:coreProperties>
</file>