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71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870"/>
        <w:gridCol w:w="4844"/>
      </w:tblGrid>
      <w:tr>
        <w:trPr/>
        <w:tc>
          <w:tcPr>
            <w:tcW w:w="987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4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 2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и условиям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проведения в 2024 году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регионального этапа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 Новосибирской области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left="709" w:right="709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</w:t>
      </w:r>
    </w:p>
    <w:p>
      <w:pPr>
        <w:pStyle w:val="Normal"/>
        <w:ind w:left="709" w:right="709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ind w:left="709" w:right="709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профессионального портфолио регионального этапа Всероссийского конкурса профессиональных </w:t>
      </w:r>
    </w:p>
    <w:p>
      <w:pPr>
        <w:pStyle w:val="Normal"/>
        <w:ind w:left="709" w:right="709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достижений «ИнваПрофи» среди работников образовательно-реабилитационных организаций для инвалидов и лиц с ограниченными возможностями здоровья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Фамилия, имя, отчество (последнее </w:t>
      </w:r>
      <w:r>
        <w:rPr>
          <w:rStyle w:val="211pt"/>
          <w:rFonts w:eastAsia="Arial Unicode MS"/>
          <w:b w:val="false"/>
        </w:rPr>
        <w:t xml:space="preserve">– </w:t>
      </w:r>
      <w:r>
        <w:rPr>
          <w:rFonts w:ascii="Times New Roman" w:hAnsi="Times New Roman"/>
          <w:sz w:val="22"/>
          <w:szCs w:val="22"/>
        </w:rPr>
        <w:t>при наличии) члена комиссии:_________________________________________________________________________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Наименование номинации:___________________________________________________________________________________________________________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Фамилия, имя, отчество (последнее </w:t>
      </w:r>
      <w:r>
        <w:rPr>
          <w:rStyle w:val="211pt"/>
          <w:rFonts w:eastAsia="Arial Unicode MS"/>
          <w:b w:val="false"/>
        </w:rPr>
        <w:t xml:space="preserve">– </w:t>
      </w:r>
      <w:r>
        <w:rPr>
          <w:rFonts w:ascii="Times New Roman" w:hAnsi="Times New Roman"/>
          <w:sz w:val="22"/>
          <w:szCs w:val="22"/>
        </w:rPr>
        <w:t>при наличии) участника:______________________________________________________________________________</w:t>
      </w:r>
    </w:p>
    <w:p>
      <w:pPr>
        <w:pStyle w:val="Normal"/>
        <w:ind w:right="72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right="72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4710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5812"/>
        <w:gridCol w:w="1559"/>
        <w:gridCol w:w="6663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2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Фактические баллы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80" w:before="0" w:after="60"/>
              <w:ind w:left="36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Максимальные баллы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3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>Взаимодействие участника Конкурса с другими субъектами образовательных отношений внутри организации, в которой работает участник регионального этапа Конкурса (в том числе участие в методических объединениях, советах, консилиумах, комиссиях, наставническая деятельность) в течение 3 лет, предшествующих участию в Конкурсе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74"/>
              <w:jc w:val="center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5</w:t>
            </w:r>
          </w:p>
          <w:p>
            <w:pPr>
              <w:pStyle w:val="Normal"/>
              <w:ind w:right="34" w:hanging="0"/>
              <w:jc w:val="both"/>
              <w:rPr>
                <w:rStyle w:val="211pt"/>
                <w:rFonts w:eastAsia="Arial Unicode MS"/>
                <w:b w:val="false"/>
                <w:b w:val="false"/>
              </w:rPr>
            </w:pPr>
            <w:r>
              <w:rPr>
                <w:rStyle w:val="211pt"/>
                <w:rFonts w:eastAsia="Arial Unicode MS"/>
                <w:b w:val="false"/>
              </w:rPr>
              <w:t>0 баллов – участник не  взаимодействует с другими субъектами образовательных отношений внутри организации;</w:t>
            </w:r>
          </w:p>
          <w:p>
            <w:pPr>
              <w:pStyle w:val="Normal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Style w:val="211pt"/>
                <w:rFonts w:eastAsia="Arial Unicode MS"/>
                <w:b w:val="false"/>
              </w:rPr>
              <w:t>2 балла – участник взаимодействует с другими субъектами образовательно-реабилитационных отношений только по вопросам реализации собственных профессиональных обязанностей (разработка рабочей программы, вопросы обучения, воспитания, реабилитации обучающихся, с которыми непосредственно работает конкурсант, взаимодействие с родителями обучающихся, с которыми непосредственно работает конкурсант и т.п.);</w:t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Style w:val="211pt"/>
                <w:rFonts w:eastAsia="Arial Unicode MS"/>
                <w:b w:val="false"/>
              </w:rPr>
              <w:t>5 баллов – участник взаимодействует с другими</w:t>
            </w:r>
            <w:r>
              <w:rPr>
                <w:rStyle w:val="211pt"/>
                <w:rFonts w:eastAsia="Arial Unicode MS"/>
              </w:rPr>
              <w:t xml:space="preserve"> </w:t>
            </w:r>
            <w:r>
              <w:rPr>
                <w:rStyle w:val="211pt"/>
                <w:rFonts w:eastAsia="Arial Unicode MS"/>
                <w:b w:val="false"/>
              </w:rPr>
              <w:t>субъектами образовательно-реабилитационных отношений по вопросам развития безбарьерной среды организации, повышения качества образовательно-реабилитационных услуг, разработки внутренних документов, материалов, электронных ресурсов организации и т.п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>Взаимодействие участника конкурса с внешними организациями, в том числе участие в методических объединениях, советах, консилиумах, комиссиях, наставническая деятельность (на муниципальном, региональном, всероссийском, международном уровнях) в течение 3 лет, предшествующих участию в конкурсе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22"/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Style w:val="22"/>
                <w:rFonts w:eastAsia="Arial Unicode MS"/>
                <w:b/>
                <w:bCs/>
                <w:sz w:val="22"/>
                <w:szCs w:val="22"/>
              </w:rPr>
              <w:t>10</w:t>
            </w:r>
          </w:p>
          <w:p>
            <w:pPr>
              <w:pStyle w:val="Normal"/>
              <w:tabs>
                <w:tab w:val="clear" w:pos="708"/>
                <w:tab w:val="left" w:pos="7547" w:leader="none"/>
              </w:tabs>
              <w:ind w:left="0" w:right="-73" w:hanging="0"/>
              <w:jc w:val="both"/>
              <w:rPr>
                <w:rStyle w:val="211pt"/>
                <w:rFonts w:eastAsia="Arial Unicode MS"/>
                <w:b w:val="false"/>
                <w:b w:val="false"/>
                <w:bCs w:val="false"/>
              </w:rPr>
            </w:pPr>
            <w:r>
              <w:rPr>
                <w:rStyle w:val="211pt"/>
                <w:rFonts w:eastAsia="Arial Unicode MS"/>
                <w:b w:val="false"/>
                <w:bCs w:val="false"/>
              </w:rPr>
              <w:t>0 баллов</w:t>
            </w:r>
            <w:r>
              <w:rPr>
                <w:rStyle w:val="211pt"/>
                <w:rFonts w:eastAsia="Arial Unicode MS"/>
                <w:b w:val="false"/>
              </w:rPr>
              <w:t> – </w:t>
            </w:r>
            <w:r>
              <w:rPr>
                <w:rStyle w:val="211pt"/>
                <w:rFonts w:eastAsia="Arial Unicode MS"/>
                <w:b w:val="false"/>
                <w:bCs w:val="false"/>
              </w:rPr>
              <w:t>участник не включен во внешнее взаимодействие;</w:t>
            </w:r>
          </w:p>
          <w:p>
            <w:pPr>
              <w:pStyle w:val="Normal"/>
              <w:ind w:right="34" w:hanging="0"/>
              <w:jc w:val="both"/>
              <w:rPr>
                <w:rStyle w:val="211pt"/>
                <w:rFonts w:eastAsia="Arial Unicode MS"/>
                <w:b w:val="false"/>
                <w:b w:val="false"/>
                <w:bCs w:val="false"/>
              </w:rPr>
            </w:pPr>
            <w:r>
              <w:rPr>
                <w:rStyle w:val="211pt"/>
                <w:rFonts w:eastAsia="Arial Unicode MS"/>
                <w:b w:val="false"/>
                <w:bCs w:val="false"/>
              </w:rPr>
              <w:t>3 балла</w:t>
            </w:r>
            <w:r>
              <w:rPr>
                <w:rStyle w:val="211pt"/>
                <w:rFonts w:eastAsia="Arial Unicode MS"/>
                <w:b w:val="false"/>
              </w:rPr>
              <w:t> – </w:t>
            </w:r>
            <w:r>
              <w:rPr>
                <w:rStyle w:val="211pt"/>
                <w:rFonts w:eastAsia="Arial Unicode MS"/>
                <w:b w:val="false"/>
                <w:bCs w:val="false"/>
              </w:rPr>
              <w:t>участник включен во внешнее взаимодействие на муниципальном уровне;</w:t>
            </w:r>
          </w:p>
          <w:p>
            <w:pPr>
              <w:pStyle w:val="Normal"/>
              <w:ind w:right="34" w:hanging="0"/>
              <w:jc w:val="both"/>
              <w:rPr>
                <w:rStyle w:val="211pt"/>
                <w:rFonts w:eastAsia="Arial Unicode MS"/>
                <w:b w:val="false"/>
                <w:b w:val="false"/>
                <w:bCs w:val="false"/>
              </w:rPr>
            </w:pPr>
            <w:r>
              <w:rPr>
                <w:rStyle w:val="211pt"/>
                <w:rFonts w:eastAsia="Arial Unicode MS"/>
                <w:b w:val="false"/>
                <w:bCs w:val="false"/>
              </w:rPr>
              <w:t>6 баллов</w:t>
            </w:r>
            <w:r>
              <w:rPr>
                <w:rStyle w:val="211pt"/>
                <w:rFonts w:eastAsia="Arial Unicode MS"/>
                <w:b w:val="false"/>
              </w:rPr>
              <w:t> – </w:t>
            </w:r>
            <w:r>
              <w:rPr>
                <w:rStyle w:val="211pt"/>
                <w:rFonts w:eastAsia="Arial Unicode MS"/>
                <w:b w:val="false"/>
                <w:bCs w:val="false"/>
              </w:rPr>
              <w:t>участник включен во внешнее взаимодействие на муниципальном, региональном, федеральном уровнях;</w:t>
            </w:r>
          </w:p>
          <w:p>
            <w:pPr>
              <w:pStyle w:val="Normal"/>
              <w:ind w:right="34" w:hanging="0"/>
              <w:jc w:val="both"/>
              <w:rPr>
                <w:rStyle w:val="22"/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Style w:val="211pt"/>
                <w:rFonts w:eastAsia="Arial Unicode MS"/>
                <w:b w:val="false"/>
                <w:bCs w:val="false"/>
              </w:rPr>
              <w:t>10 баллов</w:t>
            </w:r>
            <w:r>
              <w:rPr>
                <w:rStyle w:val="211pt"/>
                <w:rFonts w:eastAsia="Arial Unicode MS"/>
                <w:b w:val="false"/>
              </w:rPr>
              <w:t> – </w:t>
            </w:r>
            <w:r>
              <w:rPr>
                <w:rStyle w:val="211pt"/>
                <w:rFonts w:eastAsia="Arial Unicode MS"/>
                <w:b w:val="false"/>
                <w:bCs w:val="false"/>
              </w:rPr>
              <w:t>участник включен во внешнее взаимодействие на муниципальном, региональном, федеральном международном  уровнях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>Публикации (в том числе монографии, научные статьи, учебно-методические пособия, учебники и иные материалы) (максимальное количество представленных публикаций – не более 10 единиц суммарно в течение 3 лет, предшествующих участию в конкурсе)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78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Style w:val="22"/>
                <w:rFonts w:eastAsia="Arial Unicode MS"/>
                <w:b/>
                <w:sz w:val="22"/>
                <w:szCs w:val="22"/>
              </w:rPr>
              <w:t>50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Style w:val="211pt"/>
                <w:rFonts w:eastAsia="Arial Unicode MS"/>
                <w:b w:val="false"/>
              </w:rPr>
              <w:t>Максимальное количество баллов за: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Style w:val="211pt"/>
                <w:rFonts w:eastAsia="Arial Unicode MS"/>
                <w:b w:val="false"/>
              </w:rPr>
              <w:t>1 монографию – 5 баллов;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Style w:val="211pt"/>
                <w:rFonts w:eastAsia="Arial Unicode MS"/>
                <w:b w:val="false"/>
              </w:rPr>
              <w:t>1 учебно-методическое пособие, учебник или иной материал (рабочая тетрадь, задачник, решебник и др.)</w:t>
            </w:r>
            <w:r>
              <w:rPr>
                <w:rStyle w:val="21"/>
                <w:rFonts w:eastAsia="Arial Unicode MS"/>
                <w:b/>
              </w:rPr>
              <w:t xml:space="preserve"> </w:t>
            </w:r>
            <w:r>
              <w:rPr>
                <w:rStyle w:val="211pt"/>
                <w:rFonts w:eastAsia="Arial Unicode MS"/>
                <w:b w:val="false"/>
              </w:rPr>
              <w:t> – 4 балла;</w:t>
            </w:r>
          </w:p>
          <w:p>
            <w:pPr>
              <w:pStyle w:val="Normal"/>
              <w:ind w:right="72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11pt"/>
                <w:rFonts w:eastAsia="Arial Unicode MS"/>
                <w:b w:val="false"/>
              </w:rPr>
              <w:t>1 научную статью – 2 балла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33" w:hanging="0"/>
              <w:jc w:val="both"/>
              <w:rPr>
                <w:rStyle w:val="22"/>
                <w:rFonts w:eastAsia="Arial Unicode MS"/>
                <w:sz w:val="22"/>
                <w:szCs w:val="22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 xml:space="preserve">Авторские программы, методики, в том числе реабилитационной направленности, разработанные лично участником Конкурса или в соавторстве (при наличии) (максимальное количество представленных публикаций – </w:t>
            </w:r>
          </w:p>
          <w:p>
            <w:pPr>
              <w:pStyle w:val="Normal"/>
              <w:ind w:right="33" w:hanging="0"/>
              <w:jc w:val="both"/>
              <w:rPr>
                <w:rFonts w:ascii="Times New Roman" w:hAnsi="Times New Roman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>не более 10 единиц суммарно в течение 3 лет, предшествующих участию в конкурсе)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78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Style w:val="22"/>
                <w:rFonts w:eastAsia="Arial Unicode MS"/>
                <w:b/>
                <w:sz w:val="22"/>
                <w:szCs w:val="22"/>
              </w:rPr>
              <w:t>30</w:t>
            </w:r>
          </w:p>
          <w:p>
            <w:pPr>
              <w:pStyle w:val="Normal"/>
              <w:ind w:right="-108" w:hanging="0"/>
              <w:jc w:val="both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  <w:b w:val="false"/>
              </w:rPr>
              <w:t>Максимальное количество баллов за 1 авторскую программу и/или методику – 3 балла</w:t>
            </w:r>
          </w:p>
        </w:tc>
      </w:tr>
      <w:tr>
        <w:trPr>
          <w:trHeight w:val="103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>Личные достижения участника конкурса по результатам мероприятий для обучающихся с ОВЗ и инвалидностью, членов их семей (не более 10 в течение 3 лет, предшествующих участию в конкурсе)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78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Style w:val="22"/>
                <w:rFonts w:eastAsia="Arial Unicode MS"/>
                <w:b/>
                <w:sz w:val="22"/>
                <w:szCs w:val="22"/>
              </w:rPr>
              <w:t>20</w:t>
            </w:r>
          </w:p>
          <w:p>
            <w:pPr>
              <w:pStyle w:val="Normal"/>
              <w:tabs>
                <w:tab w:val="clear" w:pos="708"/>
                <w:tab w:val="left" w:pos="7547" w:leader="none"/>
              </w:tabs>
              <w:ind w:right="34" w:hanging="0"/>
              <w:jc w:val="both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  <w:b w:val="false"/>
              </w:rPr>
              <w:t>Максимальное количество баллов за 1 проведенное мероприятие – 2 балла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Style w:val="22"/>
                <w:rFonts w:eastAsia="Arial Unicode MS"/>
                <w:sz w:val="22"/>
                <w:szCs w:val="22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>Личные достижения участника конкурса по результатам участия в мероприятиях для работников (конференциях, мастер-классах, семинарах, форумах) (не более 10 в течение 3 лет, предшествующих участию в Конкурсе) в качестве ведущего, организатора, докладчика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74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Style w:val="22"/>
                <w:rFonts w:eastAsia="Arial Unicode MS"/>
                <w:b/>
                <w:sz w:val="22"/>
                <w:szCs w:val="22"/>
              </w:rPr>
              <w:t>40</w:t>
            </w:r>
          </w:p>
          <w:p>
            <w:pPr>
              <w:pStyle w:val="Normal"/>
              <w:spacing w:lineRule="exact" w:line="278"/>
              <w:jc w:val="both"/>
              <w:rPr>
                <w:rStyle w:val="22"/>
                <w:rFonts w:eastAsia="Arial Unicode MS"/>
                <w:b/>
                <w:b/>
                <w:sz w:val="22"/>
                <w:szCs w:val="22"/>
              </w:rPr>
            </w:pPr>
            <w:r>
              <w:rPr>
                <w:rStyle w:val="211pt"/>
                <w:rFonts w:eastAsia="Arial Unicode MS"/>
                <w:b w:val="false"/>
              </w:rPr>
              <w:t>Максимальное количество баллов за 1 проведенное мероприятие  –4 балла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>Достижения обучающихся с ОВЗ и инвалидностью, как результат образовательно-реабилитационной деятельности участника конкурса (не более 10 в течение 3 лет, предшествующих участию в Конкурсе)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78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Style w:val="22"/>
                <w:rFonts w:eastAsia="Arial Unicode MS"/>
                <w:b/>
                <w:sz w:val="22"/>
                <w:szCs w:val="22"/>
              </w:rPr>
              <w:t>30</w:t>
            </w:r>
          </w:p>
          <w:p>
            <w:pPr>
              <w:pStyle w:val="Normal"/>
              <w:ind w:right="34" w:hanging="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Style w:val="211pt"/>
                <w:rFonts w:eastAsia="Arial Unicode MS"/>
                <w:b w:val="false"/>
              </w:rPr>
              <w:t>Максимальное количество баллов за 1 достижение обучающихся – 3 балла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>Персональный Интернет-ресурс профессиональной направленности участника конкурса (сайт, блог, страница в социальных сетях)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78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Style w:val="22"/>
                <w:rFonts w:eastAsia="Arial Unicode MS"/>
                <w:b/>
                <w:sz w:val="22"/>
                <w:szCs w:val="22"/>
              </w:rPr>
              <w:t>10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Style w:val="211pt"/>
                <w:rFonts w:eastAsia="Arial Unicode MS"/>
                <w:b w:val="false"/>
              </w:rPr>
              <w:t>0 баллов – ресурс отсутствует;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Style w:val="211pt"/>
                <w:rFonts w:eastAsia="Arial Unicode MS"/>
                <w:b w:val="false"/>
              </w:rPr>
              <w:t>5 баллов – содержание ресурса частично соответствует тематике конкурса и требует актуализации;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>1</w:t>
            </w:r>
            <w:r>
              <w:rPr>
                <w:rStyle w:val="211pt"/>
                <w:rFonts w:eastAsia="Arial Unicode MS"/>
                <w:b w:val="false"/>
              </w:rPr>
              <w:t>0 баллов – содержание ресурса полностью соответствует тематике конкурса и достаточно актуально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Style w:val="22"/>
                <w:rFonts w:eastAsia="Arial Unicode MS"/>
                <w:sz w:val="22"/>
                <w:szCs w:val="22"/>
              </w:rPr>
              <w:t>Социальная активность (участие в грантовых программах, добровольческой (волонтерской) деятельности, проектах социального партнерства, в деятельности общественных организаций в течение 3 лет, предшествующих участию в конкурсе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74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Style w:val="22"/>
                <w:rFonts w:eastAsia="Arial Unicode MS"/>
                <w:b/>
                <w:bCs/>
                <w:sz w:val="22"/>
                <w:szCs w:val="22"/>
              </w:rPr>
              <w:t>5</w:t>
            </w:r>
          </w:p>
          <w:p>
            <w:pPr>
              <w:pStyle w:val="Normal"/>
              <w:ind w:right="34" w:hanging="0"/>
              <w:jc w:val="both"/>
              <w:rPr>
                <w:rStyle w:val="211pt"/>
                <w:rFonts w:eastAsia="Arial Unicode MS"/>
                <w:b w:val="false"/>
                <w:b w:val="false"/>
              </w:rPr>
            </w:pPr>
            <w:r>
              <w:rPr>
                <w:rStyle w:val="211pt"/>
                <w:rFonts w:eastAsia="Arial Unicode MS"/>
                <w:b w:val="false"/>
              </w:rPr>
              <w:t xml:space="preserve">0 баллов – участник не принял участие в мероприятиях, проектах, программах; </w:t>
            </w:r>
          </w:p>
          <w:p>
            <w:pPr>
              <w:pStyle w:val="Normal"/>
              <w:ind w:right="34" w:hanging="0"/>
              <w:jc w:val="both"/>
              <w:rPr>
                <w:rStyle w:val="211pt"/>
                <w:rFonts w:eastAsia="Arial Unicode MS"/>
                <w:b w:val="false"/>
                <w:b w:val="false"/>
              </w:rPr>
            </w:pPr>
            <w:r>
              <w:rPr>
                <w:rStyle w:val="211pt"/>
                <w:rFonts w:eastAsia="Arial Unicode MS"/>
                <w:b w:val="false"/>
              </w:rPr>
              <w:t xml:space="preserve">2 балла – участник провел/принял участие в 1-2 мероприятиях, проектах, программах; </w:t>
            </w:r>
          </w:p>
          <w:p>
            <w:pPr>
              <w:pStyle w:val="Normal"/>
              <w:ind w:right="34" w:hanging="0"/>
              <w:jc w:val="both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  <w:b w:val="false"/>
              </w:rPr>
              <w:t>5 баллов – участник провел/принял участие в 3 и более мероприятиях, проектах, программах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Style w:val="22"/>
                <w:rFonts w:eastAsia="Arial Unicode MS"/>
                <w:b/>
                <w:sz w:val="22"/>
                <w:szCs w:val="22"/>
              </w:rPr>
              <w:t>Итоговая оценка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720" w:hanging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200 баллов</w:t>
            </w:r>
          </w:p>
        </w:tc>
      </w:tr>
    </w:tbl>
    <w:p>
      <w:pPr>
        <w:pStyle w:val="Normal"/>
        <w:ind w:righ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720" w:hanging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header="708" w:top="993" w:footer="0" w:bottom="85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 w:cs="Times New Roman"/>
        <w:color w:val="auto"/>
        <w:sz w:val="22"/>
        <w:szCs w:val="22"/>
      </w:rPr>
    </w:pPr>
    <w:r>
      <w:rPr>
        <w:rFonts w:cs="Times New Roman" w:ascii="Times New Roman" w:hAnsi="Times New Roman"/>
        <w:color w:val="auto"/>
        <w:sz w:val="22"/>
        <w:szCs w:val="22"/>
      </w:rPr>
      <w:fldChar w:fldCharType="begin"/>
    </w:r>
    <w:r>
      <w:rPr>
        <w:sz w:val="22"/>
        <w:szCs w:val="22"/>
        <w:rFonts w:cs="Times New Roman" w:ascii="Times New Roman" w:hAnsi="Times New Roman"/>
        <w:color w:val="auto"/>
      </w:rPr>
      <w:instrText> PAGE </w:instrText>
    </w:r>
    <w:r>
      <w:rPr>
        <w:sz w:val="22"/>
        <w:szCs w:val="22"/>
        <w:rFonts w:cs="Times New Roman" w:ascii="Times New Roman" w:hAnsi="Times New Roman"/>
        <w:color w:val="auto"/>
      </w:rPr>
      <w:fldChar w:fldCharType="separate"/>
    </w:r>
    <w:r>
      <w:rPr>
        <w:sz w:val="22"/>
        <w:szCs w:val="22"/>
        <w:rFonts w:cs="Times New Roman" w:ascii="Times New Roman" w:hAnsi="Times New Roman"/>
        <w:color w:val="auto"/>
      </w:rPr>
      <w:t>0</w:t>
    </w:r>
    <w:r>
      <w:rPr>
        <w:sz w:val="22"/>
        <w:szCs w:val="22"/>
        <w:rFonts w:cs="Times New Roman" w:ascii="Times New Roman" w:hAnsi="Times New Roman"/>
        <w:color w:val="auto"/>
      </w:rPr>
      <w:fldChar w:fldCharType="end"/>
    </w:r>
  </w:p>
  <w:p>
    <w:pPr>
      <w:pStyle w:val="Style21"/>
      <w:tabs>
        <w:tab w:val="clear" w:pos="4677"/>
        <w:tab w:val="clear" w:pos="9355"/>
        <w:tab w:val="left" w:pos="1134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2" w:customStyle="1">
    <w:name w:val="Основной текст (2)"/>
    <w:basedOn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lang w:val="ru-RU" w:eastAsia="ru-RU" w:bidi="ru-RU"/>
    </w:rPr>
  </w:style>
  <w:style w:type="character" w:styleId="211pt" w:customStyle="1">
    <w:name w:val="Основной текст (2) + 11 pt;Полужирный"/>
    <w:basedOn w:val="2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sz w:val="22"/>
      <w:szCs w:val="22"/>
      <w:u w:val="none"/>
      <w:lang w:val="ru-RU" w:eastAsia="ru-RU" w:bidi="ru-RU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Droid Sans Devanagari"/>
    </w:rPr>
  </w:style>
  <w:style w:type="paragraph" w:styleId="Style14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Style16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35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3117-003D-4B67-A90F-ED91C7E6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3</Pages>
  <Words>599</Words>
  <Characters>4676</Characters>
  <CharactersWithSpaces>5244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2023-05-30T05:04:00Z</dcterms:created>
  <dc:creator>Тарасенко Елена Ивановна</dc:creator>
  <dc:description/>
  <dc:language>ru-RU</dc:language>
  <cp:lastModifiedBy/>
  <cp:lastPrinted>2024-05-22T09:35:49Z</cp:lastPrinted>
  <dcterms:modified xsi:type="dcterms:W3CDTF">2024-05-23T10:11:06Z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