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contextualSpacing/>
        <w:ind w:left="0" w:firstLine="0"/>
        <w:jc w:val="right"/>
        <w:spacing w:before="0" w:after="0" w:line="240" w:lineRule="auto"/>
        <w:shd w:val="clear" w:color="000000"/>
        <w:rPr>
          <w:rFonts w:ascii="TimesNewRoman" w:hAnsi="TimesNewRoman" w:eastAsia="TimesNewRoman" w:cs="TimesNewRoman"/>
          <w:i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i/>
          <w:color w:val="000000"/>
          <w:sz w:val="28"/>
        </w:rPr>
        <w:t xml:space="preserve">Вносится Губернатором </w:t>
      </w:r>
      <w:r>
        <w:rPr>
          <w:rFonts w:ascii="TimesNewRoman" w:hAnsi="TimesNewRoman" w:eastAsia="TimesNewRoman" w:cs="TimesNewRoman"/>
          <w:i/>
          <w:color w:val="000000"/>
          <w:sz w:val="28"/>
        </w:rPr>
      </w:r>
    </w:p>
    <w:p>
      <w:pPr>
        <w:pStyle w:val="898"/>
        <w:contextualSpacing/>
        <w:ind w:left="0" w:firstLine="0"/>
        <w:jc w:val="right"/>
        <w:spacing w:before="0" w:after="0" w:line="240" w:lineRule="auto"/>
        <w:shd w:val="clear" w:color="000000"/>
        <w:rPr>
          <w:rFonts w:ascii="TimesNewRoman" w:hAnsi="TimesNewRoman" w:eastAsia="TimesNewRoman" w:cs="TimesNewRoman"/>
          <w:i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i/>
          <w:color w:val="000000"/>
          <w:sz w:val="28"/>
        </w:rPr>
        <w:t xml:space="preserve">Новосибирской области </w:t>
      </w:r>
      <w:r>
        <w:rPr>
          <w:rFonts w:ascii="TimesNewRoman" w:hAnsi="TimesNewRoman" w:eastAsia="TimesNewRoman" w:cs="TimesNewRoman"/>
          <w:i/>
          <w:color w:val="000000"/>
          <w:sz w:val="28"/>
        </w:rPr>
      </w:r>
    </w:p>
    <w:p>
      <w:pPr>
        <w:pStyle w:val="898"/>
        <w:contextualSpacing/>
        <w:ind w:left="0" w:firstLine="0"/>
        <w:jc w:val="right"/>
        <w:spacing w:before="0" w:after="0" w:line="240" w:lineRule="auto"/>
        <w:shd w:val="clear" w:color="000000"/>
        <w:rPr>
          <w:rFonts w:ascii="TimesNewRoman" w:hAnsi="TimesNewRoman" w:eastAsia="TimesNewRoman" w:cs="TimesNewRoman"/>
          <w:color w:val="000000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1"/>
        </w:rPr>
      </w:r>
      <w:r>
        <w:rPr>
          <w:rFonts w:ascii="TimesNewRoman" w:hAnsi="TimesNewRoman" w:eastAsia="TimesNewRoman" w:cs="TimesNewRoman"/>
          <w:color w:val="000000"/>
          <w:sz w:val="21"/>
        </w:rPr>
      </w:r>
    </w:p>
    <w:p>
      <w:pPr>
        <w:pStyle w:val="898"/>
        <w:contextualSpacing/>
        <w:ind w:left="0" w:firstLine="0"/>
        <w:jc w:val="right"/>
        <w:spacing w:before="0" w:after="0" w:line="240" w:lineRule="auto"/>
        <w:shd w:val="clear" w:color="000000"/>
        <w:rPr>
          <w:rFonts w:ascii="TimesNewRoman" w:hAnsi="TimesNewRoman" w:eastAsia="TimesNewRoman" w:cs="TimesNew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Проект № ______</w:t>
      </w:r>
      <w:r>
        <w:rPr>
          <w:rFonts w:ascii="TimesNewRoman" w:hAnsi="TimesNewRoman" w:eastAsia="TimesNewRoman" w:cs="TimesNewRoman"/>
          <w:color w:val="000000"/>
          <w:sz w:val="28"/>
        </w:rPr>
      </w:r>
    </w:p>
    <w:p>
      <w:pPr>
        <w:pStyle w:val="898"/>
        <w:contextualSpacing/>
        <w:ind w:left="0" w:firstLine="0"/>
        <w:jc w:val="left"/>
        <w:spacing w:before="0" w:after="0" w:line="240" w:lineRule="auto"/>
        <w:shd w:val="clear" w:color="000000"/>
        <w:rPr>
          <w:rFonts w:ascii="TimesNewRoman" w:hAnsi="TimesNewRoman" w:eastAsia="TimesNewRoman" w:cs="TimesNew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8"/>
        <w:contextualSpacing/>
        <w:ind w:left="0" w:firstLine="0"/>
        <w:jc w:val="left"/>
        <w:spacing w:before="0" w:after="0" w:line="240" w:lineRule="auto"/>
        <w:shd w:val="clear" w:color="000000"/>
        <w:rPr>
          <w:rFonts w:ascii="TimesNewRoman" w:hAnsi="TimesNewRoman" w:eastAsia="TimesNewRoman" w:cs="TimesNew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0"/>
        <w:jc w:val="center"/>
        <w:keepNext/>
        <w:spacing w:before="0" w:after="0" w:line="240" w:lineRule="auto"/>
        <w:rPr>
          <w:rFonts w:ascii="TimesNewRoman" w:hAnsi="TimesNewRoman" w:eastAsia="TimesNewRoman" w:cs="TimesNewRoman"/>
          <w:b/>
          <w:sz w:val="40"/>
        </w:rPr>
        <w:outlineLvl w:val="0"/>
      </w:pPr>
      <w:r>
        <w:rPr>
          <w:rFonts w:ascii="TimesNewRoman" w:hAnsi="TimesNewRoman" w:eastAsia="TimesNewRoman" w:cs="TimesNewRoman"/>
          <w:b/>
          <w:sz w:val="40"/>
        </w:rPr>
        <w:t xml:space="preserve">ЗАКОН</w:t>
      </w:r>
      <w:r>
        <w:rPr>
          <w:rFonts w:ascii="TimesNewRoman" w:hAnsi="TimesNewRoman" w:eastAsia="TimesNewRoman" w:cs="TimesNewRoman"/>
          <w:b/>
          <w:sz w:val="40"/>
        </w:rPr>
      </w:r>
    </w:p>
    <w:p>
      <w:pPr>
        <w:pStyle w:val="889"/>
        <w:contextualSpacing/>
        <w:ind w:left="0" w:firstLine="0"/>
        <w:jc w:val="center"/>
        <w:keepNext/>
        <w:spacing w:before="0" w:after="0" w:line="238" w:lineRule="auto"/>
        <w:rPr>
          <w:rFonts w:ascii="TimesNewRoman" w:hAnsi="TimesNewRoman" w:eastAsia="TimesNewRoman" w:cs="TimesNewRoman"/>
          <w:b/>
          <w:sz w:val="40"/>
        </w:rPr>
        <w:outlineLvl w:val="0"/>
      </w:pPr>
      <w:r>
        <w:rPr>
          <w:rFonts w:ascii="TimesNewRoman" w:hAnsi="TimesNewRoman" w:eastAsia="TimesNewRoman" w:cs="TimesNewRoman"/>
          <w:b/>
          <w:sz w:val="40"/>
        </w:rPr>
        <w:t xml:space="preserve">НОВОСИБИРСКОЙ ОБЛАСТИ</w:t>
      </w:r>
      <w:r>
        <w:rPr>
          <w:rFonts w:ascii="TimesNewRoman" w:hAnsi="TimesNewRoman" w:eastAsia="TimesNewRoman" w:cs="TimesNewRoman"/>
          <w:b/>
          <w:sz w:val="40"/>
        </w:rPr>
      </w:r>
    </w:p>
    <w:p>
      <w:pPr>
        <w:pStyle w:val="889"/>
        <w:contextualSpacing/>
        <w:ind w:left="0" w:firstLine="0"/>
        <w:jc w:val="center"/>
        <w:spacing w:before="0" w:after="0" w:line="238" w:lineRule="auto"/>
        <w:rPr>
          <w:rFonts w:ascii="TimesNewRoman" w:hAnsi="TimesNewRoman" w:eastAsia="TimesNewRoman" w:cs="TimesNewRoman"/>
          <w:sz w:val="21"/>
        </w:rPr>
      </w:pPr>
      <w:r>
        <w:rPr>
          <w:rFonts w:ascii="TimesNewRoman" w:hAnsi="TimesNewRoman" w:eastAsia="TimesNewRoman" w:cs="TimesNewRoman"/>
          <w:sz w:val="21"/>
        </w:rPr>
      </w:r>
      <w:r>
        <w:rPr>
          <w:rFonts w:ascii="TimesNewRoman" w:hAnsi="TimesNewRoman" w:eastAsia="TimesNewRoman" w:cs="TimesNewRoman"/>
          <w:sz w:val="21"/>
        </w:rPr>
      </w:r>
    </w:p>
    <w:p>
      <w:pPr>
        <w:pStyle w:val="889"/>
        <w:contextualSpacing/>
        <w:ind w:left="0" w:firstLine="0"/>
        <w:jc w:val="center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91"/>
        <w:contextualSpacing/>
        <w:ind w:left="0" w:firstLine="0"/>
        <w:jc w:val="center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О разграничении полномочий органов государственной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91"/>
        <w:contextualSpacing/>
        <w:ind w:left="0" w:firstLine="0"/>
        <w:jc w:val="center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власти Новосибирской области в сфере занятости населения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center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center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1"/>
        <w:contextualSpacing/>
        <w:ind w:left="0" w:firstLine="720"/>
        <w:jc w:val="both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  <w:outlineLvl w:val="0"/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Статья 1. Предмет регулирования настоящего Закона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center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20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Настоящий Закон разграничивает полномочия органов государственной власти Новосибирской области в сфере занятости населения на территории Новосибирской области.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center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1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  <w:outlineLvl w:val="0"/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Статья 2. Полномочия Законодательного Собрания Новосибирской области в сфере занятости населения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К полномочиям Законодательного Собрания Новосибирской области в сфере занятости населения относятся: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1) принятие законов Новосибирской области в сфере занятости населения, осуществление контроля за их соблюдением и исполнением;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2) осуществление иных полномочий в соответствии с федеральным законодательством и законодательством Новосибирской области.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1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  <w:outlineLvl w:val="0"/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Статья 3. Полномочия Правительства Новосибирской области в сфере занятости населения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К полномочиям Правительства Новосибирской области в сфере занятости населения относятся: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1) утверждение региональных программ повышения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2) установление перечня территорий (муниципальных образований и (или) населенных пунктов), в пределах которых организовывается бесплатное выездное обслуживание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3) установление размера и порядка предоставления единовременной финансовой помощи безработным гражданам при государственной регистрации в качестве индивидуального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4) установление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5) установление порядка предос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федеральным законодательством назначена страховая пенсия по старости и ко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размер указанной финансовой поддержки;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6) установление перечня должностей, профессий, специальностей, для выполнения работ по которым привлекаются работники в рамках реализации региональной программы повышения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7) установление по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рядка и критериев отбора для участия в региональной программе повышения мобильности трудовых ресурсов работодателей и порядка заключения с ними соглашений об участии в региональной программе повышения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8) установление порядка и оснований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региональной программе повышения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9) установление порядка и условий предоставления работодателю, участвующему в региональной программе повышения мобильности трудовых ресурсов, финансовой поддержки в целях привлечения работников из других субъектов Российской Федерации для трудоустройства;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10) установление порядка и условий возмещения работодателями, исключенными из числа участников региональной программы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 повышения мобильности трудовых ресурсов, средств финансовой поддержки, предоставленной им в рамках региональной программы повышения мобильности трудовых ресурсов, в целях привлечения работников из других субъектов Российской Федерации для трудоустройства;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11) установление порядка и условий возмещения работниками,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 действий, предусмотренных законодательством Российской Федерации, средств,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t xml:space="preserve">12) 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установление случаев и порядка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оказания органами службы занятости финансовой поддержки гражданам в период участия по направлению органов службы занятости в оплачиваемых работах временного характера или оплачиваемых общественных работах и (или) работодателям при организации таких работ; 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t xml:space="preserve">13)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установление случаев и порядка содействия органами службы занятости гражданам в организации прохождения профессионального обучения, получения дополнительного профессионального образования;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t xml:space="preserve">14)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установление порядка и размера оказания органами службы занятости финансовой поддержки иным категориям граждан при организации прохождения профессионального обучения, получения дополнительного профессионального образования в другой местности;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15) установление дополнительных выплат к пособию по безработице;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  <w:highlight w:val="cyan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t xml:space="preserve">16)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 w:themeColor="text1"/>
          <w:sz w:val="28"/>
          <w:szCs w:val="28"/>
        </w:rPr>
        <w:t xml:space="preserve">становление дополнительных мер государственной поддержки в сфере занятости населения и порядка их предоставления;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cyan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cyan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17) установление порядка осуществления специальных мероприятий, предусмотренных частью 1 статьи 37 Федерального закона от 12 декабря 2023 года № 565-ФЗ «О занятости населения в Российской Федерации»;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18) определение порядка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 резервирования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Новосибирской области, или определение числа рабочих мест для трудоустройства таких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19) установление количества специальных рабочих мест для трудоустройства инвалидов для каждого работодателя в пределах установленной квоты для приема на работу инвалидов;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20) осуществление иных полномочий в соответствии с федеральным законодательством и законодательством Новосибирской области.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1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  <w:outlineLvl w:val="0"/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Статья 4. Полномочия областного исполнительного органа Новосибирской области, уполномоченного в сфере занятости населения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К полномочиям областного исполнительного органа Новосибирской области, уполномоченного в сфере занятости населения (далее - уполномоченный орган) относятся: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1) разработка и реализация государственных программ Новосибирской области в сфере занятости населения;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6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2) разработка прогноза баланса трудовых ресурсов Новосибирской области;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3) проведение мониторинга рынка труда в Новосибирской области;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4) осуществление регионального государственного контроля (надзора) за приемом на работу инвалидов в пределах установленной квоты;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5) регистрация граждан в целях поиска подходящей работы, а также регистрация безработных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6) финансовое обеспечение мер государственной поддержки в сфере занятости населения, материально-техническое и финансовое обеспечение деятельности уполномоченного органа и государственных учреждений службы занятости населения Новосибирской области;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7) обобщение практики применения законодательства о занятости населения в Новосибирской области и подготовка предложений по его совершенствованию;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8) принятие мер по устранению причин выявленных нарушений законодательства о занятости населения и восстановлению нарушенных прав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9) 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10) оказание содействия работодателям в привлечении трудовых ресурсов в рамках реализации региональных программ повышения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1_693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11)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разработка мер, направленных на содействие приоритетному трудоустройству граждан, которые завершили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szCs w:val="28"/>
        </w:rPr>
        <w:t xml:space="preserve">прохождение военной службы по мобилизации или военной слу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szCs w:val="28"/>
        </w:rPr>
        <w:t xml:space="preserve">жбы по контракту, заключенному в соответствии с пунктом 7 статьи 38 Федерального закона от 28 марта 1998 года № 53-ФЗ «О воинской обязанности и военной службе», либо у которых прекратилось действие заключенного ими контракта о пребывании в добровольческом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szCs w:val="28"/>
        </w:rPr>
        <w:t xml:space="preserve">формировании, предусмотренном Федеральным законом от 31 мая 1996 года № 61-ФЗ «Об обороне», а также граждан, относящихся к членам их семей в соответствии с пунктами 5 и 5.1 статьи 2 Федерального закона от 27 мая 1998 года № 76-ФЗ «О статусе военнослужащих»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12)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организация прохождения профессионального о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</w:t>
      </w:r>
      <w:hyperlink r:id="rId11" w:tooltip="https://login.consultant.ru/link/?req=doc&amp;base=LAW&amp;n=477406&amp;dst=100047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00"/>
            <w:sz w:val="28"/>
            <w:szCs w:val="28"/>
          </w:rPr>
          <w:t xml:space="preserve">пенсия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 по старости и которые стремятся возобновить трудовую деятельность, направлеными органами службы занятости для прохождения профессионального обучения, получения дополнительного профессионального образования;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13) </w:t>
      </w:r>
      <w:r>
        <w:rPr>
          <w:sz w:val="28"/>
          <w:szCs w:val="28"/>
        </w:rPr>
      </w:r>
      <w:hyperlink r:id="rId12" w:tooltip="https://login.consultant.ru/link/?req=doc&amp;base=LAW&amp;n=470574&amp;dst=100012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00"/>
            <w:sz w:val="28"/>
            <w:szCs w:val="28"/>
          </w:rPr>
          <w:t xml:space="preserve">организ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ация прохождения профессионального обучения, получения дополнительного профессионального образования иными категориями граждан, в том числе в рамках государственных программ Новосибирской области в сфере занятости населения;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14) предоставление основных мер государственной поддержки в сфере занятости населения: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содействие гражданам в поиске подходящей работы, включая оказание содействия в составлении анкеты;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проведения оплачиваемых общественных работ;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социальная адаптация граждан, ищущих работу, безработных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психологическая поддержка безработных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содействие приоритетному трудоустройству граждан, которые завершили прохождение военной службы по мобилизации или военной служ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бы по контракту, заключенному в соответствии с пунктом 7 статьи 38 Федерального закона от 28 марта 1998 года № 53-ФЗ «О воинской обязанности и военной службе», либо у которых прекратилось действие заключенного ими контракта о пребывании в добровольческом ф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ормировании, предусмотренном Федеральным законом от 31 мая 1996 года № 61-ФЗ «Об обороне», а также граждан, относящихся к членам их семей в соответствии с пунктами 5 и 5.1 статьи 2 Федерального закона от 27 мая 1998 года № 76-ФЗ «О статусе военнослужащих»;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сопровождения при содействии занятости инвалидов;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содействие работодателям в подборе необходимых работников;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ярмарок вакансий и учебных рабочих мест;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Arial" w:hAnsi="Arial" w:eastAsia="Arial" w:cs="Arial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организация и проведение специальных мероприятий по профилированию граждан, ищущих работу, безработных граждан и работодателей;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информирование о положении на рынке труда в Новосибирской области, социально-трудовых правах граждан, развитии форм занятости;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15) разработка и предоставление дополнительных мер государственной поддержки в сфере занятости населения в порядке, предусмотренном Правительством Новосибирской области, в том числе направленных: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содействие занятости граждан, особо нуждающихся в социальной защите граждан, испытывающих трудности в поиске работы, граждан, находящихся под риском увольнения;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создание условий для совмещения незанятыми многодетными родителями, незанятыми родителями, усыновителями, опекунами (попечителями), воспитывающими детей-инвалидов, обязанностей по воспитанию детей с трудовой деятельностью;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поощрение работодателей, сохраняющих действующие и создающих новые рабочие места прежде всего для граждан, испытывающих трудности в поиске работы;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содействие работодателям в создании специальных рабочих мест для трудоустройства инвалидов;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содействие работодателям в реализации мероприятий по обеспечению занятости граждан, находящихся под риском увольнения;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снижение напряженности на рынке труда в Новосибирской области и развитие рынка труда в Новосибирской области;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повышение мобильности трудовых ресурсов;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организацию прохождения профессионального обучения, получения дополнительного профессионального образования гражданами, находящимися под риском увольнения, молодежью, иными категориями граждан;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5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 содействие занятости граждан, которые завершили прохождение военной службы по мобилизации или военной служ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бы по контракту, заключенному в соответствии с пунктом 7 статьи 38 Федерального закона от 28 марта 1998 года № 53-ФЗ «О воинской обязанности и военной службе», либо у которых прекратилось действие заключенного ими контракта о пребывании в добровольческом ф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ормировании, предусмотренном Федеральным законом от 31 мая 1996 года № 61-ФЗ «Об обороне», а также граждан, относящихся к членам их семей в соответствии с пунктами 5 и 5.1 статьи 2 Федерального закона от 27 мая 1998 года № 76-ФЗ «О статусе военнослужащих»;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16) 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</w:rPr>
        <w:t xml:space="preserve">поощрение работодателей, сохраняющих действующие и создающих новые рабочие места;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17) осуществление иных полномочий в соответствии с федеральным законодательством и законодательством Новосибирской области.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1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  <w:outlineLvl w:val="0"/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Статья 5. Вступление в силу настоящего Закона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Настоящий Закон вступает в силу с 1 января 2025 года.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91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b/>
          <w:color w:val="000000"/>
          <w:sz w:val="28"/>
          <w:szCs w:val="28"/>
        </w:rPr>
        <w:outlineLvl w:val="0"/>
      </w:pP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  <w:t xml:space="preserve">Статья 6. Признание утратившими силу отдельных законов Новосибирской области и отдельных положений законов Новосибирской области</w:t>
      </w:r>
      <w:r>
        <w:rPr>
          <w:rFonts w:ascii="TimesNewRoman" w:hAnsi="TimesNewRoman" w:eastAsia="TimesNewRoman" w:cs="TimesNewRoman"/>
          <w:b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Со дня вступления в силу настоящего Закона признать утратившими силу: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color w:val="000000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1) Закон Новосибирской области от 10 декабря 2012 года № 279-ОЗ «О разграничении полномочий органов государственной власти Новосибирской области в сфере занятости населения»;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2) пункт 18 части 1 статьи 15 Закона Новосибирской области от 5 июля 2013 года № 361-ОЗ «О регулировании отношений в сфере образования в Новосибирской области»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3) Закон Новосибирской области от 10 декабря 2013 года № 408-ОЗ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4) Закон Новосибирской области от 1 июля 2015 года № 569-ОЗ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5) Закон Новосибирской области от 3 октября 2017 года № 196-ОЗ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изменения в статью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 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6) Закон Новосибирской области от 2 апреля 2019 года № 354-ОЗ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7) Закон Новосибирской области от 14 июля 2020 года № 492-ОЗ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статью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8) Закон Новосибирской области от 2 ноября 2021 года № 126-ОЗ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 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9) Закон Новосибирской области от 27 февраля 2023 года № 317-ОЗ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 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709"/>
        <w:jc w:val="both"/>
        <w:spacing w:before="20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10) Закон Новосибирской области от 5 июня 2024 года № 453-ОЗ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</w:rPr>
        <w:t xml:space="preserve">О внесении изменений в отдельные законы Новосибирской области в связи с совершенствованием законодательства о занятости населения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  <w:highlight w:val="red"/>
        </w:rPr>
      </w:pPr>
      <w:r>
        <w:rPr>
          <w:rFonts w:ascii="TimesNewRoman" w:hAnsi="TimesNewRoman" w:eastAsia="TimesNewRoman" w:cs="TimesNewRoman"/>
          <w:sz w:val="28"/>
          <w:szCs w:val="28"/>
          <w:highlight w:val="red"/>
        </w:rPr>
      </w:r>
      <w:r>
        <w:rPr>
          <w:rFonts w:ascii="TimesNewRoman" w:hAnsi="TimesNewRoman" w:eastAsia="TimesNewRoman" w:cs="TimesNewRoman"/>
          <w:sz w:val="28"/>
          <w:szCs w:val="28"/>
          <w:highlight w:val="red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Губернатор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Новосибирской области</w:t>
      </w:r>
      <w:r>
        <w:rPr>
          <w:rFonts w:ascii="TimesNewRoman" w:hAnsi="TimesNewRoman" w:eastAsia="TimesNewRoman" w:cs="TimesNewRoman"/>
          <w:sz w:val="28"/>
          <w:szCs w:val="28"/>
        </w:rPr>
        <w:tab/>
      </w:r>
      <w:r>
        <w:rPr>
          <w:rFonts w:ascii="TimesNewRoman" w:hAnsi="TimesNewRoman" w:eastAsia="TimesNewRoman" w:cs="TimesNewRoman"/>
          <w:sz w:val="28"/>
          <w:szCs w:val="28"/>
        </w:rPr>
        <w:tab/>
      </w:r>
      <w:r>
        <w:rPr>
          <w:rFonts w:ascii="TimesNewRoman" w:hAnsi="TimesNewRoman" w:eastAsia="TimesNewRoman" w:cs="TimesNewRoman"/>
          <w:sz w:val="28"/>
          <w:szCs w:val="28"/>
        </w:rPr>
        <w:tab/>
      </w:r>
      <w:r>
        <w:rPr>
          <w:rFonts w:ascii="TimesNewRoman" w:hAnsi="TimesNewRoman" w:eastAsia="TimesNewRoman" w:cs="TimesNewRoman"/>
          <w:sz w:val="28"/>
          <w:szCs w:val="28"/>
        </w:rPr>
        <w:tab/>
      </w:r>
      <w:r>
        <w:rPr>
          <w:rFonts w:ascii="TimesNewRoman" w:hAnsi="TimesNewRoman" w:eastAsia="TimesNewRoman" w:cs="TimesNewRoman"/>
          <w:sz w:val="28"/>
          <w:szCs w:val="28"/>
        </w:rPr>
        <w:tab/>
      </w:r>
      <w:r>
        <w:rPr>
          <w:rFonts w:ascii="TimesNewRoman" w:hAnsi="TimesNewRoman" w:eastAsia="TimesNewRoman" w:cs="TimesNewRoman"/>
          <w:sz w:val="28"/>
          <w:szCs w:val="28"/>
        </w:rPr>
        <w:t xml:space="preserve">                      А.А. Травников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89"/>
        <w:contextualSpacing/>
        <w:ind w:left="0" w:firstLine="0"/>
        <w:jc w:val="both"/>
        <w:spacing w:before="0" w:after="0" w:line="238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г. Новосибирск</w:t>
      </w:r>
      <w:bookmarkStart w:id="1" w:name="undefined"/>
      <w:r/>
      <w:bookmarkEnd w:id="1"/>
      <w:r/>
      <w:r>
        <w:rPr>
          <w:rFonts w:ascii="TimesNewRoman" w:hAnsi="TimesNewRoman" w:eastAsia="TimesNewRoman" w:cs="TimesNewRoman"/>
          <w:sz w:val="28"/>
        </w:rPr>
      </w:r>
    </w:p>
    <w:p>
      <w:pPr>
        <w:pStyle w:val="889"/>
        <w:contextualSpacing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«___» __________ 2024 г.</w:t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89"/>
        <w:contextualSpacing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№ _____________– ОЗ</w:t>
      </w:r>
      <w:r>
        <w:rPr>
          <w:rFonts w:ascii="TimesNewRoman" w:hAnsi="TimesNewRoman" w:eastAsia="TimesNewRoman" w:cs="TimesNewRoman"/>
          <w:color w:val="000000"/>
          <w:sz w:val="28"/>
        </w:rPr>
      </w:r>
    </w:p>
    <w:sectPr>
      <w:headerReference w:type="default" r:id="rId8"/>
      <w:headerReference w:type="even" r:id="rId9"/>
      <w:headerReference w:type="first" r:id="rId10"/>
      <w:footnotePr>
        <w:pos w:val="pageBottom"/>
      </w:footnotePr>
      <w:endnotePr/>
      <w:type w:val="nextPage"/>
      <w:pgSz w:w="11906" w:h="16838" w:orient="portrait"/>
      <w:pgMar w:top="1134" w:right="567" w:bottom="1134" w:left="1417" w:header="510" w:footer="51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89"/>
        <w:ind w:left="0" w:firstLine="0"/>
        <w:jc w:val="left"/>
        <w:spacing w:before="0" w:after="0" w:line="240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0"/>
        </w:rPr>
      </w:r>
    </w:p>
  </w:endnote>
  <w:endnote w:type="continuationSeparator" w:id="0">
    <w:p>
      <w:pPr>
        <w:pStyle w:val="889"/>
        <w:ind w:left="0" w:firstLine="0"/>
        <w:jc w:val="left"/>
        <w:spacing w:before="0" w:after="0" w:line="240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Calibri">
    <w:panose1 w:val="020F0502020204030204"/>
  </w:font>
  <w:font w:name="Arial">
    <w:panose1 w:val="020B0604020202020204"/>
  </w:font>
  <w:font w:name="CalibriLight">
    <w:panose1 w:val="02000603000000000000"/>
  </w:font>
  <w:font w:name="TimesNewRoman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89"/>
        <w:ind w:left="0" w:firstLine="0"/>
        <w:jc w:val="left"/>
        <w:spacing w:before="0" w:after="0" w:line="240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0"/>
        </w:rPr>
      </w:r>
    </w:p>
  </w:footnote>
  <w:footnote w:type="continuationSeparator" w:id="0">
    <w:p>
      <w:pPr>
        <w:pStyle w:val="889"/>
        <w:ind w:left="0" w:firstLine="0"/>
        <w:jc w:val="left"/>
        <w:spacing w:before="0" w:after="0" w:line="240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rFonts w:ascii="Arial" w:hAnsi="Arial" w:eastAsia="Arial" w:cs="Arial"/>
          <w:sz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center"/>
      <w:spacing w:before="0" w:after="0" w:line="240" w:lineRule="auto"/>
      <w:tabs>
        <w:tab w:val="center" w:pos="7143" w:leader="none"/>
        <w:tab w:val="right" w:pos="14287" w:leader="none"/>
      </w:tabs>
      <w:rPr>
        <w:rFonts w:ascii="Arial" w:hAnsi="Arial" w:eastAsia="Arial" w:cs="Arial"/>
        <w:sz w:val="24"/>
      </w:rPr>
    </w:pPr>
    <w:r>
      <w:rPr>
        <w:rFonts w:ascii="TimesNewRoman" w:hAnsi="TimesNewRoman" w:eastAsia="TimesNewRoman" w:cs="TimesNewRoman"/>
        <w:sz w:val="24"/>
      </w:rPr>
      <w:fldChar w:fldCharType="begin"/>
    </w:r>
    <w:r>
      <w:rPr>
        <w:rFonts w:ascii="TimesNewRoman" w:hAnsi="TimesNewRoman" w:eastAsia="TimesNewRoman" w:cs="TimesNewRoman"/>
        <w:sz w:val="24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rFonts w:ascii="TimesNewRoman" w:hAnsi="TimesNewRoman" w:eastAsia="TimesNewRoman" w:cs="TimesNewRoman"/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rFonts w:ascii="Arial" w:hAnsi="Arial" w:eastAsia="Arial" w:cs="Arial"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center"/>
      <w:spacing w:before="0" w:after="0" w:line="240" w:lineRule="auto"/>
      <w:tabs>
        <w:tab w:val="center" w:pos="7143" w:leader="none"/>
        <w:tab w:val="right" w:pos="14287" w:leader="none"/>
      </w:tabs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2</w:t>
    </w:r>
    <w:r>
      <w:rPr>
        <w:rFonts w:ascii="TimesNewRoman" w:hAnsi="TimesNewRoman" w:eastAsia="TimesNewRoman" w:cs="TimesNewRoman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center"/>
      <w:spacing w:before="0" w:after="0" w:line="240" w:lineRule="auto"/>
      <w:tabs>
        <w:tab w:val="center" w:pos="7143" w:leader="none"/>
        <w:tab w:val="right" w:pos="14287" w:leader="none"/>
      </w:tabs>
      <w:rPr>
        <w:rFonts w:ascii="Arial" w:hAnsi="Arial" w:eastAsia="Arial" w:cs="Arial"/>
        <w:sz w:val="24"/>
      </w:rPr>
    </w:pPr>
    <w:r>
      <w:rPr>
        <w:rFonts w:ascii="Arial" w:hAnsi="Arial" w:eastAsia="Arial" w:cs="Arial"/>
        <w:sz w:val="24"/>
      </w:rPr>
    </w:r>
    <w:r>
      <w:rPr>
        <w:rFonts w:ascii="Arial" w:hAnsi="Arial" w:eastAsia="Arial" w:cs="Arial"/>
        <w:sz w:val="24"/>
      </w:rPr>
    </w:r>
  </w:p>
  <w:p>
    <w:pPr>
      <w:pStyle w:val="735"/>
      <w:ind w:left="0" w:firstLine="0"/>
      <w:jc w:val="left"/>
      <w:spacing w:before="0" w:after="0" w:line="240" w:lineRule="auto"/>
      <w:tabs>
        <w:tab w:val="center" w:pos="7143" w:leader="none"/>
        <w:tab w:val="right" w:pos="14287" w:leader="none"/>
      </w:tabs>
      <w:rPr>
        <w:rFonts w:ascii="Arial" w:hAnsi="Arial" w:eastAsia="Arial" w:cs="Arial"/>
        <w:sz w:val="24"/>
      </w:rPr>
    </w:pPr>
    <w:r>
      <w:rPr>
        <w:rFonts w:ascii="Arial" w:hAnsi="Arial" w:eastAsia="Arial" w:cs="Arial"/>
        <w:sz w:val="24"/>
      </w:rPr>
    </w:r>
    <w:r>
      <w:rPr>
        <w:rFonts w:ascii="Arial" w:hAnsi="Arial" w:eastAsia="Arial" w:cs="Arial"/>
        <w:sz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pPr>
      <w:ind w:left="0"/>
      <w:jc w:val="left"/>
      <w:spacing w:before="0" w:after="0" w:line="240" w:lineRule="auto"/>
    </w:pPr>
    <w:rPr>
      <w:rFonts w:ascii="TimesNewRoman" w:hAnsi="TimesNewRoman" w:eastAsia="TimesNewRoman" w:cs="TimesNewRoman"/>
      <w:sz w:val="24"/>
    </w:rPr>
  </w:style>
  <w:style w:type="paragraph" w:styleId="692">
    <w:name w:val="Heading 1"/>
    <w:basedOn w:val="691"/>
    <w:qFormat/>
    <w:pPr>
      <w:ind w:left="0"/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paragraph" w:styleId="693">
    <w:name w:val="Heading 2"/>
    <w:basedOn w:val="691"/>
    <w:qFormat/>
    <w:pPr>
      <w:ind w:left="0"/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qFormat/>
    <w:pPr>
      <w:ind w:left="0"/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paragraph" w:styleId="695">
    <w:name w:val="Heading 4"/>
    <w:basedOn w:val="691"/>
    <w:qFormat/>
    <w:pPr>
      <w:ind w:left="0"/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paragraph" w:styleId="696">
    <w:name w:val="Heading 5"/>
    <w:basedOn w:val="691"/>
    <w:qFormat/>
    <w:pPr>
      <w:ind w:left="0"/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paragraph" w:styleId="697">
    <w:name w:val="Heading 6"/>
    <w:basedOn w:val="691"/>
    <w:qFormat/>
    <w:pPr>
      <w:ind w:left="0"/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paragraph" w:styleId="698">
    <w:name w:val="Heading 7"/>
    <w:basedOn w:val="691"/>
    <w:qFormat/>
    <w:pPr>
      <w:ind w:left="0"/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paragraph" w:styleId="699">
    <w:name w:val="Heading 8"/>
    <w:basedOn w:val="691"/>
    <w:qFormat/>
    <w:pPr>
      <w:ind w:left="0"/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paragraph" w:styleId="700">
    <w:name w:val="Heading 9"/>
    <w:basedOn w:val="691"/>
    <w:qFormat/>
    <w:pPr>
      <w:ind w:left="0"/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01" w:default="1">
    <w:name w:val="Default Paragraph Font"/>
    <w:semiHidden/>
    <w:unhideWhenUsed/>
    <w:rPr>
      <w:rFonts w:ascii="TimesNewRoman" w:hAnsi="TimesNewRoman" w:eastAsia="TimesNewRoman" w:cs="TimesNewRoman"/>
      <w:sz w:val="24"/>
    </w:rPr>
  </w:style>
  <w:style w:type="table" w:styleId="702" w:default="1">
    <w:name w:val="Normal Table"/>
    <w:semiHidden/>
    <w:unhideWhenUsed/>
    <w:pPr>
      <w:ind w:left="0"/>
      <w:jc w:val="left"/>
      <w:spacing w:before="0" w:after="0" w:line="240" w:lineRule="auto"/>
    </w:pPr>
    <w:rPr>
      <w:rFonts w:ascii="TimesNewRoman" w:hAnsi="TimesNewRoman" w:eastAsia="TimesNewRoman" w:cs="TimesNewRoman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character" w:styleId="703">
    <w:name w:val="Заголовок 1 Знак"/>
    <w:rPr>
      <w:rFonts w:ascii="CalibriLight" w:hAnsi="CalibriLight" w:eastAsia="CalibriLight" w:cs="CalibriLight"/>
      <w:b/>
      <w:sz w:val="32"/>
    </w:rPr>
  </w:style>
  <w:style w:type="character" w:styleId="704">
    <w:name w:val="Heading 1 Char"/>
    <w:rPr>
      <w:rFonts w:ascii="Arial" w:hAnsi="Arial" w:eastAsia="Arial" w:cs="Arial"/>
      <w:sz w:val="40"/>
    </w:rPr>
  </w:style>
  <w:style w:type="character" w:styleId="705">
    <w:name w:val="Заголовок 2 Знак"/>
    <w:semiHidden/>
    <w:rPr>
      <w:rFonts w:ascii="CalibriLight" w:hAnsi="CalibriLight" w:eastAsia="CalibriLight" w:cs="CalibriLight"/>
      <w:b/>
      <w:i/>
      <w:sz w:val="28"/>
    </w:rPr>
  </w:style>
  <w:style w:type="character" w:styleId="706">
    <w:name w:val="Heading 2 Char"/>
    <w:rPr>
      <w:rFonts w:ascii="Arial" w:hAnsi="Arial" w:eastAsia="Arial" w:cs="Arial"/>
      <w:sz w:val="34"/>
    </w:rPr>
  </w:style>
  <w:style w:type="character" w:styleId="707">
    <w:name w:val="Заголовок 3 Знак"/>
    <w:semiHidden/>
    <w:rPr>
      <w:rFonts w:ascii="CalibriLight" w:hAnsi="CalibriLight" w:eastAsia="CalibriLight" w:cs="CalibriLight"/>
      <w:b/>
      <w:sz w:val="26"/>
    </w:rPr>
  </w:style>
  <w:style w:type="character" w:styleId="708">
    <w:name w:val="Heading 3 Char"/>
    <w:rPr>
      <w:rFonts w:ascii="Arial" w:hAnsi="Arial" w:eastAsia="Arial" w:cs="Arial"/>
      <w:sz w:val="30"/>
    </w:rPr>
  </w:style>
  <w:style w:type="character" w:styleId="709">
    <w:name w:val="Заголовок 4 Знак"/>
    <w:semiHidden/>
    <w:rPr>
      <w:rFonts w:ascii="Calibri" w:hAnsi="Calibri" w:eastAsia="Calibri" w:cs="Calibri"/>
      <w:b/>
      <w:sz w:val="28"/>
    </w:rPr>
  </w:style>
  <w:style w:type="character" w:styleId="710">
    <w:name w:val="Heading 4 Char"/>
    <w:rPr>
      <w:rFonts w:ascii="Arial" w:hAnsi="Arial" w:eastAsia="Arial" w:cs="Arial"/>
      <w:b/>
      <w:sz w:val="26"/>
    </w:rPr>
  </w:style>
  <w:style w:type="character" w:styleId="711">
    <w:name w:val="Заголовок 5 Знак"/>
    <w:semiHidden/>
    <w:rPr>
      <w:rFonts w:ascii="Calibri" w:hAnsi="Calibri" w:eastAsia="Calibri" w:cs="Calibri"/>
      <w:b/>
      <w:i/>
      <w:sz w:val="26"/>
    </w:rPr>
  </w:style>
  <w:style w:type="character" w:styleId="712">
    <w:name w:val="Heading 5 Char"/>
    <w:rPr>
      <w:rFonts w:ascii="Arial" w:hAnsi="Arial" w:eastAsia="Arial" w:cs="Arial"/>
      <w:b/>
      <w:sz w:val="24"/>
    </w:rPr>
  </w:style>
  <w:style w:type="character" w:styleId="713">
    <w:name w:val="Заголовок 6 Знак"/>
    <w:semiHidden/>
    <w:rPr>
      <w:rFonts w:ascii="Calibri" w:hAnsi="Calibri" w:eastAsia="Calibri" w:cs="Calibri"/>
      <w:b/>
      <w:sz w:val="22"/>
    </w:rPr>
  </w:style>
  <w:style w:type="character" w:styleId="714">
    <w:name w:val="Heading 6 Char"/>
    <w:rPr>
      <w:rFonts w:ascii="Arial" w:hAnsi="Arial" w:eastAsia="Arial" w:cs="Arial"/>
      <w:b/>
      <w:sz w:val="22"/>
    </w:rPr>
  </w:style>
  <w:style w:type="character" w:styleId="715">
    <w:name w:val="Заголовок 7 Знак"/>
    <w:semiHidden/>
    <w:rPr>
      <w:rFonts w:ascii="Calibri" w:hAnsi="Calibri" w:eastAsia="Calibri" w:cs="Calibri"/>
      <w:sz w:val="24"/>
    </w:rPr>
  </w:style>
  <w:style w:type="character" w:styleId="716">
    <w:name w:val="Heading 7 Char"/>
    <w:rPr>
      <w:rFonts w:ascii="Arial" w:hAnsi="Arial" w:eastAsia="Arial" w:cs="Arial"/>
      <w:b/>
      <w:i/>
      <w:sz w:val="22"/>
    </w:rPr>
  </w:style>
  <w:style w:type="character" w:styleId="717">
    <w:name w:val="Заголовок 8 Знак"/>
    <w:semiHidden/>
    <w:rPr>
      <w:rFonts w:ascii="Calibri" w:hAnsi="Calibri" w:eastAsia="Calibri" w:cs="Calibri"/>
      <w:i/>
      <w:sz w:val="24"/>
    </w:rPr>
  </w:style>
  <w:style w:type="character" w:styleId="718">
    <w:name w:val="Heading 8 Char"/>
    <w:rPr>
      <w:rFonts w:ascii="Arial" w:hAnsi="Arial" w:eastAsia="Arial" w:cs="Arial"/>
      <w:i/>
      <w:sz w:val="22"/>
    </w:rPr>
  </w:style>
  <w:style w:type="character" w:styleId="719">
    <w:name w:val="Заголовок 9 Знак"/>
    <w:semiHidden/>
    <w:rPr>
      <w:rFonts w:ascii="CalibriLight" w:hAnsi="CalibriLight" w:eastAsia="CalibriLight" w:cs="CalibriLight"/>
      <w:sz w:val="22"/>
    </w:rPr>
  </w:style>
  <w:style w:type="character" w:styleId="720">
    <w:name w:val="Heading 9 Char"/>
    <w:rPr>
      <w:rFonts w:ascii="Arial" w:hAnsi="Arial" w:eastAsia="Arial" w:cs="Arial"/>
      <w:i/>
      <w:sz w:val="21"/>
    </w:rPr>
  </w:style>
  <w:style w:type="paragraph" w:styleId="721">
    <w:name w:val="List Paragraph"/>
    <w:basedOn w:val="691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722">
    <w:name w:val="No Spacing"/>
    <w:qFormat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723">
    <w:name w:val="Title"/>
    <w:basedOn w:val="691"/>
    <w:qFormat/>
    <w:pPr>
      <w:contextualSpacing/>
      <w:ind w:left="0"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724">
    <w:name w:val="Название Знак"/>
    <w:rPr>
      <w:rFonts w:ascii="CalibriLight" w:hAnsi="CalibriLight" w:eastAsia="CalibriLight" w:cs="CalibriLight"/>
      <w:b/>
      <w:sz w:val="32"/>
    </w:rPr>
  </w:style>
  <w:style w:type="character" w:styleId="725">
    <w:name w:val="Title Char"/>
    <w:rPr>
      <w:rFonts w:ascii="Arial" w:hAnsi="Arial" w:eastAsia="Arial" w:cs="Arial"/>
      <w:sz w:val="48"/>
    </w:rPr>
  </w:style>
  <w:style w:type="paragraph" w:styleId="726">
    <w:name w:val="Subtitle"/>
    <w:basedOn w:val="691"/>
    <w:qFormat/>
    <w:pPr>
      <w:ind w:left="0"/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727">
    <w:name w:val="Подзаголовок Знак"/>
    <w:rPr>
      <w:rFonts w:ascii="CalibriLight" w:hAnsi="CalibriLight" w:eastAsia="CalibriLight" w:cs="CalibriLight"/>
      <w:sz w:val="24"/>
    </w:rPr>
  </w:style>
  <w:style w:type="character" w:styleId="728">
    <w:name w:val="Subtitle Char"/>
    <w:rPr>
      <w:rFonts w:ascii="Arial" w:hAnsi="Arial" w:eastAsia="Arial" w:cs="Arial"/>
      <w:sz w:val="24"/>
    </w:rPr>
  </w:style>
  <w:style w:type="paragraph" w:styleId="729">
    <w:name w:val="Quote"/>
    <w:basedOn w:val="691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730">
    <w:name w:val="Цитата 2 Знак"/>
    <w:rPr>
      <w:rFonts w:ascii="TimesNewRoman" w:hAnsi="TimesNewRoman" w:eastAsia="TimesNewRoman" w:cs="TimesNewRoman"/>
      <w:i/>
      <w:color w:val="404040"/>
      <w:sz w:val="24"/>
    </w:rPr>
  </w:style>
  <w:style w:type="character" w:styleId="731">
    <w:name w:val="Quote Char"/>
    <w:rPr>
      <w:rFonts w:ascii="Arial" w:hAnsi="Arial" w:eastAsia="Arial" w:cs="Arial"/>
      <w:i/>
      <w:sz w:val="24"/>
    </w:rPr>
  </w:style>
  <w:style w:type="paragraph" w:styleId="732">
    <w:name w:val="Intense Quote"/>
    <w:basedOn w:val="691"/>
    <w:qFormat/>
    <w:pPr>
      <w:contextualSpacing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733">
    <w:name w:val="Выделенная цитата Знак"/>
    <w:rPr>
      <w:rFonts w:ascii="TimesNewRoman" w:hAnsi="TimesNewRoman" w:eastAsia="TimesNewRoman" w:cs="TimesNewRoman"/>
      <w:i/>
      <w:color w:val="5b9bd5"/>
      <w:sz w:val="24"/>
    </w:rPr>
  </w:style>
  <w:style w:type="character" w:styleId="734">
    <w:name w:val="Intense Quote Char"/>
    <w:rPr>
      <w:rFonts w:ascii="Arial" w:hAnsi="Arial" w:eastAsia="Arial" w:cs="Arial"/>
      <w:i/>
      <w:sz w:val="24"/>
    </w:rPr>
  </w:style>
  <w:style w:type="paragraph" w:styleId="735">
    <w:name w:val="Header"/>
    <w:basedOn w:val="691"/>
    <w:unhideWhenUsed/>
    <w:pPr>
      <w:ind w:left="0"/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36">
    <w:name w:val="Верхний колонтитул Знак"/>
    <w:rPr>
      <w:rFonts w:ascii="TimesNewRoman" w:hAnsi="TimesNewRoman" w:eastAsia="TimesNewRoman" w:cs="TimesNewRoman"/>
      <w:sz w:val="24"/>
    </w:rPr>
  </w:style>
  <w:style w:type="character" w:styleId="737">
    <w:name w:val="Header Char"/>
    <w:rPr>
      <w:rFonts w:ascii="Arial" w:hAnsi="Arial" w:eastAsia="Arial" w:cs="Arial"/>
      <w:sz w:val="24"/>
    </w:rPr>
  </w:style>
  <w:style w:type="paragraph" w:styleId="738">
    <w:name w:val="Footer"/>
    <w:basedOn w:val="691"/>
    <w:unhideWhenUsed/>
    <w:pPr>
      <w:ind w:left="0"/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39">
    <w:name w:val="Нижний колонтитул Знак"/>
    <w:semiHidden/>
    <w:rPr>
      <w:rFonts w:ascii="TimesNewRoman" w:hAnsi="TimesNewRoman" w:eastAsia="TimesNewRoman" w:cs="TimesNewRoman"/>
      <w:sz w:val="24"/>
    </w:rPr>
  </w:style>
  <w:style w:type="character" w:styleId="740">
    <w:name w:val="Footer Char"/>
    <w:rPr>
      <w:rFonts w:ascii="Arial" w:hAnsi="Arial" w:eastAsia="Arial" w:cs="Arial"/>
      <w:sz w:val="24"/>
    </w:rPr>
  </w:style>
  <w:style w:type="paragraph" w:styleId="741">
    <w:name w:val="Caption"/>
    <w:basedOn w:val="691"/>
    <w:qFormat/>
    <w:pPr>
      <w:ind w:left="0"/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742">
    <w:name w:val="Caption Char"/>
    <w:rPr>
      <w:rFonts w:ascii="Arial" w:hAnsi="Arial" w:eastAsia="Arial" w:cs="Arial"/>
      <w:sz w:val="24"/>
    </w:rPr>
  </w:style>
  <w:style w:type="table" w:styleId="743">
    <w:name w:val="Table Grid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table" w:styleId="744">
    <w:name w:val="Table Grid Light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table" w:styleId="745">
    <w:name w:val="Plain Table 1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table" w:styleId="746">
    <w:name w:val="Plain Table 2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table" w:styleId="747">
    <w:name w:val="Plain Table 3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Plain Table 4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Plain Table 5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1 Light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1 Light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Grid Table 1 Light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Grid Table 1 Light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Grid Table 1 Light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Grid Table 1 Light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Grid Table 1 Light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Grid Table 2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Grid Table 2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Grid Table 2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Grid Table 2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Grid Table 2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Grid Table 2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Grid Table 2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Grid Table 3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Grid Table 3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Grid Table 3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Grid Table 3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Grid Table 3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Grid Table 3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Grid Table 3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Grid Table 4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Grid Table 4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Grid Table 4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Grid Table 4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Grid Table 4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Grid Table 4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Grid Table 4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Grid Table 5 Dark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Grid Table 5 Dark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Grid Table 5 Dark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Grid Table 5 Dark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Grid Table 5 Dark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Grid Table 5 Dark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Grid Table 5 Dark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Grid Table 6 Colorful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Grid Table 6 Colorful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Grid Table 6 Colorful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Grid Table 6 Colorful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Grid Table 6 Colorful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Grid Table 6 Colorful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Grid Table 6 Colorful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Grid Table 7 Colorful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Grid Table 7 Colorful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Grid Table 7 Colorful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Grid Table 7 Colorful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Grid Table 7 Colorful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Grid Table 7 Colorful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Grid Table 7 Colorful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1 Light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1 Light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st Table 1 Light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st Table 1 Light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st Table 1 Light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st Table 1 Light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st Table 1 Light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st Table 2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st Table 2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st Table 2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List Table 2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List Table 2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List Table 2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List Table 2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List Table 3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List Table 3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List Table 3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List Table 3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List Table 3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List Table 3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List Table 3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List Table 4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List Table 4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List Table 4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List Table 4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List Table 4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List Table 4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List Table 4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List Table 5 Dark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List Table 5 Dark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List Table 5 Dark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List Table 5 Dark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List Table 5 Dark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List Table 5 Dark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List Table 5 Dark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4">
    <w:name w:val="List Table 6 Colorful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5">
    <w:name w:val="List Table 6 Colorful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6">
    <w:name w:val="List Table 6 Colorful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7">
    <w:name w:val="List Table 6 Colorful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8">
    <w:name w:val="List Table 6 Colorful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9">
    <w:name w:val="List Table 6 Colorful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0">
    <w:name w:val="List Table 6 Colorful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1">
    <w:name w:val="List Table 7 Colorful"/>
    <w:basedOn w:val="702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2">
    <w:name w:val="List Table 7 Colorful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3">
    <w:name w:val="List Table 7 Colorful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4">
    <w:name w:val="List Table 7 Colorful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5">
    <w:name w:val="List Table 7 Colorful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6">
    <w:name w:val="List Table 7 Colorful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7">
    <w:name w:val="List Table 7 Colorful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8">
    <w:name w:val="Lined - Accent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9">
    <w:name w:val="Lined - Accent 1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0">
    <w:name w:val="Lined - Accent 2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1">
    <w:name w:val="Lined - Accent 3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2">
    <w:name w:val="Lined - Accent 4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3">
    <w:name w:val="Lined - Accent 5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4">
    <w:name w:val="Lined - Accent 6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5">
    <w:name w:val="Bordered &amp; Lined - Accent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6">
    <w:name w:val="Bordered &amp; Lined - Accent 1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7">
    <w:name w:val="Bordered &amp; Lined - Accent 2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8">
    <w:name w:val="Bordered &amp; Lined - Accent 3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9">
    <w:name w:val="Bordered &amp; Lined - Accent 4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0">
    <w:name w:val="Bordered &amp; Lined - Accent 5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1">
    <w:name w:val="Bordered &amp; Lined - Accent 6"/>
    <w:pPr>
      <w:ind w:left="0"/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2">
    <w:name w:val="Bordered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3">
    <w:name w:val="Bordered - Accent 1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4">
    <w:name w:val="Bordered - Accent 2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5">
    <w:name w:val="Bordered - Accent 3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6">
    <w:name w:val="Bordered - Accent 4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7">
    <w:name w:val="Bordered - Accent 5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8">
    <w:name w:val="Bordered - Accent 6"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character" w:styleId="869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70">
    <w:name w:val="footnote text"/>
    <w:basedOn w:val="691"/>
    <w:semiHidden/>
    <w:unhideWhenUsed/>
    <w:pPr>
      <w:ind w:left="0"/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71">
    <w:name w:val="Текст сноски Знак"/>
    <w:semiHidden/>
    <w:rPr>
      <w:rFonts w:ascii="TimesNewRoman" w:hAnsi="TimesNewRoman" w:eastAsia="TimesNewRoman" w:cs="TimesNewRoman"/>
      <w:sz w:val="20"/>
    </w:rPr>
  </w:style>
  <w:style w:type="character" w:styleId="872">
    <w:name w:val="Footnote Text Char"/>
    <w:rPr>
      <w:rFonts w:ascii="Arial" w:hAnsi="Arial" w:eastAsia="Arial" w:cs="Arial"/>
      <w:sz w:val="18"/>
    </w:rPr>
  </w:style>
  <w:style w:type="character" w:styleId="873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74">
    <w:name w:val="endnote text"/>
    <w:basedOn w:val="691"/>
    <w:semiHidden/>
    <w:unhideWhenUsed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75">
    <w:name w:val="Текст концевой сноски Знак"/>
    <w:semiHidden/>
    <w:rPr>
      <w:rFonts w:ascii="TimesNewRoman" w:hAnsi="TimesNewRoman" w:eastAsia="TimesNewRoman" w:cs="TimesNewRoman"/>
      <w:sz w:val="20"/>
    </w:rPr>
  </w:style>
  <w:style w:type="character" w:styleId="876">
    <w:name w:val="Endnote Text Char"/>
    <w:rPr>
      <w:rFonts w:ascii="Arial" w:hAnsi="Arial" w:eastAsia="Arial" w:cs="Arial"/>
      <w:sz w:val="20"/>
    </w:rPr>
  </w:style>
  <w:style w:type="character" w:styleId="877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78">
    <w:name w:val="toc 1"/>
    <w:basedOn w:val="691"/>
    <w:unhideWhenUsed/>
    <w:pPr>
      <w:ind w:left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79">
    <w:name w:val="toc 2"/>
    <w:basedOn w:val="691"/>
    <w:unhideWhenUsed/>
    <w:pPr>
      <w:ind w:left="283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0">
    <w:name w:val="toc 3"/>
    <w:basedOn w:val="691"/>
    <w:unhideWhenUsed/>
    <w:pPr>
      <w:ind w:left="567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1">
    <w:name w:val="toc 4"/>
    <w:basedOn w:val="691"/>
    <w:unhideWhenUsed/>
    <w:pPr>
      <w:ind w:left="85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2">
    <w:name w:val="toc 5"/>
    <w:basedOn w:val="691"/>
    <w:unhideWhenUsed/>
    <w:pPr>
      <w:ind w:left="1134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3">
    <w:name w:val="toc 6"/>
    <w:basedOn w:val="691"/>
    <w:unhideWhenUsed/>
    <w:pPr>
      <w:ind w:left="1417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4">
    <w:name w:val="toc 7"/>
    <w:basedOn w:val="691"/>
    <w:unhideWhenUsed/>
    <w:pPr>
      <w:ind w:left="1701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5">
    <w:name w:val="toc 8"/>
    <w:basedOn w:val="691"/>
    <w:unhideWhenUsed/>
    <w:pPr>
      <w:ind w:left="1984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6">
    <w:name w:val="toc 9"/>
    <w:basedOn w:val="691"/>
    <w:unhideWhenUsed/>
    <w:pPr>
      <w:ind w:left="2268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87">
    <w:name w:val="TOC Heading"/>
    <w:basedOn w:val="692"/>
    <w:qFormat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88">
    <w:name w:val="table of figures"/>
    <w:basedOn w:val="691"/>
    <w:unhideWhenUsed/>
    <w:pPr>
      <w:ind w:left="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89">
    <w:name w:val="ConsPlusNormal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paragraph" w:styleId="890">
    <w:name w:val="ConsPlusNonformat"/>
    <w:pPr>
      <w:ind w:left="0"/>
      <w:jc w:val="left"/>
      <w:spacing w:before="0" w:after="0" w:line="240" w:lineRule="auto"/>
    </w:pPr>
    <w:rPr>
      <w:rFonts w:ascii="CourierNew" w:hAnsi="CourierNew" w:eastAsia="CourierNew" w:cs="CourierNew"/>
      <w:sz w:val="20"/>
    </w:rPr>
  </w:style>
  <w:style w:type="paragraph" w:styleId="891">
    <w:name w:val="ConsPlusTitle"/>
    <w:pPr>
      <w:ind w:left="0"/>
      <w:jc w:val="left"/>
      <w:spacing w:before="0" w:after="0" w:line="240" w:lineRule="auto"/>
    </w:pPr>
    <w:rPr>
      <w:rFonts w:ascii="Arial" w:hAnsi="Arial" w:eastAsia="Arial" w:cs="Arial"/>
      <w:b/>
      <w:sz w:val="20"/>
    </w:rPr>
  </w:style>
  <w:style w:type="paragraph" w:styleId="892">
    <w:name w:val="ConsPlusCell"/>
    <w:pPr>
      <w:ind w:left="0"/>
      <w:jc w:val="left"/>
      <w:spacing w:before="0" w:after="0" w:line="240" w:lineRule="auto"/>
    </w:pPr>
    <w:rPr>
      <w:rFonts w:ascii="CourierNew" w:hAnsi="CourierNew" w:eastAsia="CourierNew" w:cs="CourierNew"/>
      <w:sz w:val="20"/>
    </w:rPr>
  </w:style>
  <w:style w:type="paragraph" w:styleId="893">
    <w:name w:val="ConsPlusDocList"/>
    <w:pPr>
      <w:ind w:left="0"/>
      <w:jc w:val="left"/>
      <w:spacing w:before="0" w:after="0" w:line="240" w:lineRule="auto"/>
    </w:pPr>
    <w:rPr>
      <w:rFonts w:ascii="CourierNew" w:hAnsi="CourierNew" w:eastAsia="CourierNew" w:cs="CourierNew"/>
      <w:sz w:val="20"/>
    </w:rPr>
  </w:style>
  <w:style w:type="paragraph" w:styleId="894">
    <w:name w:val="ConsPlusTitlePage"/>
    <w:pPr>
      <w:ind w:left="0"/>
      <w:jc w:val="left"/>
      <w:spacing w:before="0" w:after="0" w:line="240" w:lineRule="auto"/>
    </w:pPr>
    <w:rPr>
      <w:rFonts w:ascii="Tahoma" w:hAnsi="Tahoma" w:eastAsia="Tahoma" w:cs="Tahoma"/>
      <w:sz w:val="20"/>
    </w:rPr>
  </w:style>
  <w:style w:type="paragraph" w:styleId="895">
    <w:name w:val="ConsPlusJurTerm"/>
    <w:pPr>
      <w:ind w:left="0"/>
      <w:jc w:val="left"/>
      <w:spacing w:before="0" w:after="0" w:line="240" w:lineRule="auto"/>
    </w:pPr>
    <w:rPr>
      <w:rFonts w:ascii="Arial" w:hAnsi="Arial" w:eastAsia="Arial" w:cs="Arial"/>
      <w:sz w:val="26"/>
    </w:rPr>
  </w:style>
  <w:style w:type="paragraph" w:styleId="896">
    <w:name w:val="ConsPlusTextList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paragraph" w:styleId="897">
    <w:name w:val="ConsPlusTextList1"/>
    <w:pPr>
      <w:ind w:left="0"/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paragraph" w:styleId="898">
    <w:name w:val="Standard"/>
    <w:qFormat/>
    <w:pPr>
      <w:contextualSpacing/>
      <w:ind w:left="0"/>
      <w:jc w:val="left"/>
      <w:spacing w:before="0" w:after="0" w:line="240" w:lineRule="auto"/>
      <w:shd w:val="clear" w:color="0000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Arial" w:hAnsi="Arial" w:eastAsia="Arial" w:cs="Arial"/>
      <w:color w:val="000000"/>
      <w:sz w:val="21"/>
    </w:rPr>
  </w:style>
  <w:style w:type="numbering" w:styleId="1412" w:default="1">
    <w:name w:val="No List"/>
    <w:uiPriority w:val="99"/>
    <w:semiHidden/>
    <w:unhideWhenUsed/>
  </w:style>
  <w:style w:type="paragraph" w:styleId="1_69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yperlink" Target="https://login.consultant.ru/link/?req=doc&amp;base=LAW&amp;n=477406&amp;dst=100047" TargetMode="External"/><Relationship Id="rId12" Type="http://schemas.openxmlformats.org/officeDocument/2006/relationships/hyperlink" Target="https://login.consultant.ru/link/?req=doc&amp;base=LAW&amp;n=470574&amp;dst=1000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10.12.2012 N 279-ОЗ(ред. от 05.06.2024)&amp;amp;amp;amp;amp;amp;amp;amp;amp;quot;О разграничении полномочий органов государственной власти Новосибирской области в сфере занятости населения&amp;amp;amp;amp;amp;amp;amp;amp;amp;quot;(принят постановлением Зак</dc:title>
  <dc:creator/>
  <cp:revision>1</cp:revision>
  <dcterms:modified xsi:type="dcterms:W3CDTF">2024-10-16T07:37:29Z</dcterms:modified>
</cp:coreProperties>
</file>