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от 23.01.2015 № 24-п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Batang" w:cs="Times New Roman"/>
          <w:b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Batang" w:cs="Times New Roman"/>
          <w:b/>
          <w:color w:val="000000"/>
          <w:sz w:val="28"/>
          <w:szCs w:val="28"/>
          <w:lang w:eastAsia="ru-RU"/>
        </w:rPr>
        <w:t xml:space="preserve"> о с т а н о в л я е т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 24-п «Об утверждении 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государственной программы Новосибирской области «Развитие физической культуры и спорта в Новосибирской области» (далее – постановление) следую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щие изменения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1. 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В пункте 2: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1) дополнить подпунктом 2.1 в следующего содержания: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«2.1) Порядок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пределения объема и предоставления субсидий за счет средств областного бюджета Новосибирской области на государственную поддержку физкультурно-спортивных организаций, спортивные команды которых выступают на всероссийских и международных соревнованиях от им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ени Новосибирской области на возмещение недополученных доходов и (или) возмещение затрат в связи с производством (реализацией) товаров, выполнением работ, оказанием услуг,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согласно приложению № 2.1 к настоящему постановлению;»;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2) 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подпункт 5.1 признать утратившим силу.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2.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В государственной программе Новосибирской области «Развитие физической культуры и спорта в Новосибирской области»: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в приложении № 6 «Порядок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на реализацию мероприятий государственной программы Новосибирской области «Развитие физ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ической культуры и спорта в Новосибирской области» абзац «б»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подпункта 5 пункта 3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 изложить в следующей редакции: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1)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абзац «б»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подпункта 5 пункта 3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 изложить в следующей редакции: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б)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наличия выполненных работ по мероприятиям Программы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, подтвержденных унифицированными формами № КС-3 «Справка о стоимости выполненных работ и затрат» (актами выполненных работ, счетами-фактурами/счетами), и (или) распорядительных документов заказчика, обо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сновывающих необходимость авансирования поставщиков, подрядчиков, исполнителей по контрактам и гражданско-правовым договорам на поставку товаров, выполнение работ, оказание услуг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(за исключением мероприятий по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обеспечению обору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дованием и инвентарем спортивных объектов муниципальной собственности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монтажу оборудования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»;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2)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абзац тридцать восьмой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 подпункта 5 пункта 10 изложить в следующей редакции: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копию контракта на поставку оборудования, в отношении которого планируется осуществление монтажа за счет средств субсидии;».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3. Дополнить постановление п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риложением №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.1 «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Порядок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пределения объема и предоставления субсидий за счет средств областного бюджета Новосибирской области на государственную поддержку физкультурно-спортивных организаций, спортивные команды которых выступают на всероссийских и международных соревнованиях от им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ени Новосибирской области на возмещение недополученных доходов и (или) возмещение затрат в связи с производством (реализацией) товаров, выполнением работ, оказанием услуг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» изложить в редакции согласно приложению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к настоящему постановлению.</w:t>
      </w:r>
      <w:r>
        <w:rPr>
          <w:rFonts w:ascii="Times New Roman" w:hAnsi="Times New Roman" w:eastAsia="Batang" w:cs="Times New Roman"/>
          <w:sz w:val="28"/>
          <w:szCs w:val="28"/>
          <w:highlight w:val="yellow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Новосибирской области                                                  А.А. Травников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.А.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Ахапов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222 73 81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Первый заместитель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Губернатора 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Ю.Ф. Петухов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Заместитель Губернатора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В.А. Дудникова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370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85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аместитель Председателя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8100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Правительства 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министр финансов и налоговой политики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655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    В.Ю. Голубенко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8117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инистр экономического развития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      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Л.Н.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Решетников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инистр юстиции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Т.Н.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Деркач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Министр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физической культуры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и спорта Новосибирской области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С.А. Ахапов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Batang" w:cs="Times New Roman"/>
          <w:sz w:val="20"/>
          <w:szCs w:val="20"/>
          <w:lang w:eastAsia="ru-RU"/>
        </w:rPr>
        <w:t xml:space="preserve">Д.Д. Бирюков</w:t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0"/>
          <w:szCs w:val="20"/>
          <w:lang w:eastAsia="ru-RU"/>
        </w:rPr>
        <w:t xml:space="preserve">тел. 238 77 30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Batang" w:cs="Times New Roman"/>
          <w:sz w:val="20"/>
          <w:szCs w:val="20"/>
          <w:lang w:eastAsia="ru-RU"/>
        </w:rPr>
        <w:t xml:space="preserve">к</w:t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  <w:t xml:space="preserve">онсультант отдела </w:t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Batang" w:cs="Times New Roman"/>
          <w:sz w:val="20"/>
          <w:szCs w:val="20"/>
          <w:lang w:eastAsia="ru-RU"/>
        </w:rPr>
        <w:t xml:space="preserve">организационной, правовой </w:t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Batang" w:cs="Times New Roman"/>
          <w:sz w:val="20"/>
          <w:szCs w:val="20"/>
          <w:lang w:eastAsia="ru-RU"/>
        </w:rPr>
        <w:t xml:space="preserve">работы и контроля </w:t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20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Batang">
    <w:panose1 w:val="0200050600000002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70431059"/>
      <w:docPartObj>
        <w:docPartGallery w:val="Page Numbers (Top of Page)"/>
        <w:docPartUnique w:val="true"/>
      </w:docPartObj>
      <w:rPr/>
    </w:sdtPr>
    <w:sdtContent>
      <w:p>
        <w:pPr>
          <w:pStyle w:val="86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0"/>
    <w:next w:val="860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1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0"/>
    <w:next w:val="860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1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1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1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1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1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1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0"/>
    <w:next w:val="860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1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0"/>
    <w:next w:val="860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1"/>
    <w:link w:val="705"/>
    <w:uiPriority w:val="10"/>
    <w:rPr>
      <w:sz w:val="48"/>
      <w:szCs w:val="48"/>
    </w:rPr>
  </w:style>
  <w:style w:type="paragraph" w:styleId="707">
    <w:name w:val="Subtitle"/>
    <w:basedOn w:val="860"/>
    <w:next w:val="860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1"/>
    <w:link w:val="707"/>
    <w:uiPriority w:val="11"/>
    <w:rPr>
      <w:sz w:val="24"/>
      <w:szCs w:val="24"/>
    </w:rPr>
  </w:style>
  <w:style w:type="paragraph" w:styleId="709">
    <w:name w:val="Quote"/>
    <w:basedOn w:val="860"/>
    <w:next w:val="860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0"/>
    <w:next w:val="860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1"/>
    <w:link w:val="864"/>
    <w:uiPriority w:val="99"/>
  </w:style>
  <w:style w:type="character" w:styleId="714">
    <w:name w:val="Footer Char"/>
    <w:basedOn w:val="861"/>
    <w:link w:val="879"/>
    <w:uiPriority w:val="99"/>
  </w:style>
  <w:style w:type="paragraph" w:styleId="715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79"/>
    <w:uiPriority w:val="99"/>
  </w:style>
  <w:style w:type="table" w:styleId="717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>
    <w:name w:val="Header"/>
    <w:basedOn w:val="860"/>
    <w:link w:val="86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865" w:customStyle="1">
    <w:name w:val="Верхний колонтитул Знак"/>
    <w:basedOn w:val="861"/>
    <w:link w:val="864"/>
    <w:uiPriority w:val="99"/>
    <w:rPr>
      <w:rFonts w:ascii="Times New Roman" w:hAnsi="Times New Roman" w:eastAsia="Batang" w:cs="Times New Roman"/>
      <w:sz w:val="24"/>
      <w:szCs w:val="24"/>
      <w:lang w:eastAsia="ru-RU"/>
    </w:rPr>
  </w:style>
  <w:style w:type="paragraph" w:styleId="866">
    <w:name w:val="Balloon Text"/>
    <w:basedOn w:val="860"/>
    <w:link w:val="8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861"/>
    <w:link w:val="866"/>
    <w:uiPriority w:val="99"/>
    <w:semiHidden/>
    <w:rPr>
      <w:rFonts w:ascii="Tahoma" w:hAnsi="Tahoma" w:cs="Tahoma"/>
      <w:sz w:val="16"/>
      <w:szCs w:val="16"/>
    </w:rPr>
  </w:style>
  <w:style w:type="character" w:styleId="868">
    <w:name w:val="Hyperlink"/>
    <w:basedOn w:val="861"/>
    <w:uiPriority w:val="99"/>
    <w:unhideWhenUsed/>
    <w:rPr>
      <w:color w:val="0000ff" w:themeColor="hyperlink"/>
      <w:u w:val="single"/>
    </w:rPr>
  </w:style>
  <w:style w:type="paragraph" w:styleId="869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870">
    <w:name w:val="annotation reference"/>
    <w:basedOn w:val="861"/>
    <w:uiPriority w:val="99"/>
    <w:semiHidden/>
    <w:unhideWhenUsed/>
    <w:rPr>
      <w:sz w:val="16"/>
      <w:szCs w:val="16"/>
    </w:rPr>
  </w:style>
  <w:style w:type="paragraph" w:styleId="871">
    <w:name w:val="annotation text"/>
    <w:basedOn w:val="860"/>
    <w:link w:val="87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2" w:customStyle="1">
    <w:name w:val="Текст примечания Знак"/>
    <w:basedOn w:val="861"/>
    <w:link w:val="871"/>
    <w:uiPriority w:val="99"/>
    <w:semiHidden/>
    <w:rPr>
      <w:sz w:val="20"/>
      <w:szCs w:val="20"/>
    </w:rPr>
  </w:style>
  <w:style w:type="paragraph" w:styleId="873">
    <w:name w:val="annotation subject"/>
    <w:basedOn w:val="871"/>
    <w:next w:val="871"/>
    <w:link w:val="874"/>
    <w:uiPriority w:val="99"/>
    <w:semiHidden/>
    <w:unhideWhenUsed/>
    <w:rPr>
      <w:b/>
      <w:bCs/>
    </w:rPr>
  </w:style>
  <w:style w:type="character" w:styleId="874" w:customStyle="1">
    <w:name w:val="Тема примечания Знак"/>
    <w:basedOn w:val="872"/>
    <w:link w:val="873"/>
    <w:uiPriority w:val="99"/>
    <w:semiHidden/>
    <w:rPr>
      <w:b/>
      <w:bCs/>
      <w:sz w:val="20"/>
      <w:szCs w:val="20"/>
    </w:rPr>
  </w:style>
  <w:style w:type="paragraph" w:styleId="875">
    <w:name w:val="List Paragraph"/>
    <w:basedOn w:val="860"/>
    <w:uiPriority w:val="34"/>
    <w:qFormat/>
    <w:pPr>
      <w:contextualSpacing/>
      <w:ind w:left="720"/>
    </w:pPr>
  </w:style>
  <w:style w:type="paragraph" w:styleId="876">
    <w:name w:val="Revision"/>
    <w:hidden/>
    <w:uiPriority w:val="99"/>
    <w:semiHidden/>
    <w:pPr>
      <w:spacing w:after="0" w:line="240" w:lineRule="auto"/>
    </w:pPr>
  </w:style>
  <w:style w:type="paragraph" w:styleId="877" w:customStyle="1">
    <w:name w:val="formattext"/>
    <w:basedOn w:val="8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8">
    <w:name w:val="Normal (Web)"/>
    <w:basedOn w:val="86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9">
    <w:name w:val="Footer"/>
    <w:basedOn w:val="860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861"/>
    <w:link w:val="87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279C-A998-4C71-8709-3963E32D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</cp:revision>
  <dcterms:created xsi:type="dcterms:W3CDTF">2024-03-11T11:05:00Z</dcterms:created>
  <dcterms:modified xsi:type="dcterms:W3CDTF">2024-10-04T08:19:31Z</dcterms:modified>
</cp:coreProperties>
</file>