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252"/>
        <w:jc w:val="right"/>
        <w:spacing w:after="0" w:line="240" w:lineRule="auto"/>
        <w:rPr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Проект постановления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4252"/>
        <w:jc w:val="right"/>
        <w:spacing w:after="0" w:line="240" w:lineRule="auto"/>
        <w:rPr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Правительства Новосибирской области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right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spacing w:after="0"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</w:rPr>
      </w:r>
      <w:r>
        <w:rPr>
          <w:rFonts w:ascii="Times New Roman" w:hAnsi="Times New Roman" w:eastAsia="Times New Roman"/>
          <w:sz w:val="28"/>
          <w:szCs w:val="28"/>
          <w:highlight w:val="white"/>
        </w:rPr>
      </w:r>
      <w:r>
        <w:rPr>
          <w:rFonts w:ascii="Times New Roman" w:hAnsi="Times New Roman" w:eastAsia="Times New Roman"/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О внесении изменений в постановление Правительства Новосибирской области</w:t>
      </w:r>
      <w:r>
        <w:rPr>
          <w:rFonts w:ascii="Times New Roman" w:hAnsi="Times New Roman" w:eastAsia="Times New Roman"/>
          <w:sz w:val="28"/>
          <w:szCs w:val="28"/>
          <w:highlight w:val="white"/>
        </w:rPr>
      </w:r>
      <w:r>
        <w:rPr>
          <w:rFonts w:ascii="Times New Roman" w:hAnsi="Times New Roman" w:eastAsia="Times New Roman"/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sz w:val="28"/>
          <w:szCs w:val="28"/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от 27.04.2020 № 140-п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Правительство Новосибирской области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т: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нести в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постановление Правительства Новосибирской области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от 27.04.2020 № 140-п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«Об утверждении Правил предоставления из областного бюджета Новосибирской области грантов в форме субсидий организациям, осуществляющим образовательную деятельность, в целях возмещения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затрат, связанных с обучением государственных гражданских служащих Новосибирской области на основании государственных образовательных сертификатов на дополнительное профессиональное образование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» следующие изменения: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1. Преамбулу изложить в следующей редак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ции: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соответствии с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пунктом 4 статьи 78.1 Бюджетного кодекса Российской Федерации,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Федеральным </w:t>
      </w:r>
      <w:hyperlink r:id="rId8" w:tooltip="https://login.consultant.ru/link/?req=doc&amp;base=LAW&amp;n=464203&amp;dst=286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  <w:highlight w:val="white"/>
          </w:rPr>
          <w:t xml:space="preserve">з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  <w:highlight w:val="white"/>
          </w:rPr>
          <w:t xml:space="preserve">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 27.07.2004 №79-ФЗ «О государственной гражданской службе Российской Федерации», </w:t>
      </w:r>
      <w:hyperlink r:id="rId9" w:tooltip="https://login.consultant.ru/link/?req=doc&amp;base=LAW&amp;n=450581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  <w:highlight w:val="white"/>
          </w:rPr>
          <w:t xml:space="preserve">Указом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Президента Российской Федерации от 21.02.2019 № 68 «О профессиональном развитии государственных гражданских служащих Российской Федерации», 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постановлением Правительства Российской Федерации от 25.10.2023 № 1782 «Об утверждении общих требований к нормативн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лицам - производителям товаров, работ, услуг и проведение отборов получателей указанных субсидий, в том  числе грантов  в  форме  субсидий» Правительство  Новосибирской  области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  <w:u w:val="non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u w:val="none"/>
        </w:rPr>
        <w:t xml:space="preserve"> 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  <w:u w:val="non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u w:val="none"/>
        </w:rPr>
        <w:t xml:space="preserve"> 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  <w:u w:val="non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u w:val="none"/>
        </w:rPr>
        <w:t xml:space="preserve"> 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  <w:u w:val="non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u w:val="none"/>
        </w:rPr>
        <w:t xml:space="preserve"> 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  <w:u w:val="non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u w:val="none"/>
        </w:rPr>
        <w:t xml:space="preserve"> 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  <w:u w:val="non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u w:val="none"/>
        </w:rPr>
        <w:t xml:space="preserve"> 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  <w:u w:val="non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u w:val="none"/>
        </w:rPr>
        <w:t xml:space="preserve"> 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  <w:u w:val="non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u w:val="none"/>
        </w:rPr>
        <w:t xml:space="preserve"> 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  <w:u w:val="non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u w:val="none"/>
        </w:rPr>
        <w:t xml:space="preserve"> 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  <w:u w:val="none"/>
        </w:rPr>
        <w:t xml:space="preserve">я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u w:val="none"/>
        </w:rPr>
        <w:t xml:space="preserve"> 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  <w:u w:val="non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u w:val="none"/>
        </w:rPr>
        <w:t xml:space="preserve"> 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  <w:u w:val="none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 В пункте 2 слова 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Бобырь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В.Н.» заменить словами «Манев В.Г.».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 Пункт 3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«3. Департаменту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(Авдеева Н.К.)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осуществлять: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1) взаимодействие с управлением делами Губернатора Новосибирской области и Правительства Новосибирской области по вопросам отбора получателей грантов и заключения с образовательными организациями сог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лашений 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предоставлении грантов в целях возмещения затрат, связанных с обучением гражданских служащих на основании образовательных сертификатов;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2) 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контроль за обучением гражданских служащих на основании образовательных сертификатов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.».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4. 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Правилах предоставления из областного бюджета Новосибирской области грантов в форме субсидий организация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м, осуществляющим образовательную деятельность, в целях возмещения затрат, связанных с обучением государственных гражданских служащих Новосибирской области на основании государственных образовательных сертификатов на дополнительное профессиональное образов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ание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1) пункт 2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«2. 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Предоставление грантов на цели, указанные в </w:t>
      </w:r>
      <w:hyperlink r:id="rId10" w:tooltip="https://login.consultant.ru/link/?req=doc&amp;base=RLAW049&amp;n=145310&amp;dst=100017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  <w:highlight w:val="white"/>
          </w:rPr>
          <w:t xml:space="preserve">пункте 1</w:t>
        </w:r>
      </w:hyperlink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правил, осуществляется управлением делами Губернатора Новосибирской области и Правительства Новосибирской области, осуществляющим функции главного распорядителя бюджетных средств, до которого в соответствии с бюджетным законодательством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Российской Федерации как получателя бюджетных средств доведены в установленном порядке лимиты бюджетных обязательств на предоставление грантов на соответствующий финансовый год и плановый период.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Способ предоставления грантов –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возмещение  затрат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Информа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ция о грантах размещается на едином портале бюджетной системы Российской Федерации в информационно-телекоммуникационной сети «Интернет» (в разделе единого портала) в установленном Министерством финансов Российской Федерации порядке.»;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2) 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изложить пункт 4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«4. Гранты предоставляются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по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результатам отбора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образовательным организациям, соответствующим требованиям, предусмотренным пунктом 4.1 правил, включенным в реестр исполнителей государственной услуги по реализации дополнительных профессиональных программ для гражданских служащи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х (далее - реестр образовательных организаций),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осуществившим обучение гражданских служащих на основании образовательных сертификатов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.»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3) дополнить пунктом 4.1 следующего содержания: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«4.1.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 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 дат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рассмотрения заявки и заключения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соглашения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 предоставлении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гранта в целях возмещения затрат, связанных с обучением гражданских служащих на основании образовательных сертификатов (далее – соглашение),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образовательная организация должна соответствовать следующим требованиям: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1) образовательная организация не д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олжна являться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11" w:tooltip="https://login.consultant.ru/link/?req=doc&amp;base=LAW&amp;n=420230&amp;dst=100010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перечень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2) образовательная организация не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должна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3) образовательная организация не должна находиться в составляемых в рамках реализации полномоч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ий, предусмотренных </w:t>
      </w:r>
      <w:hyperlink r:id="rId12" w:tooltip="https://login.consultant.ru/link/?req=doc&amp;base=LAW&amp;n=121087&amp;dst=100142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главой VII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Устава ООН,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4) образо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вательная организация не должна получать средства из областного бюджета Новосибирской области на основании иных нормативных правовых актов Новосибирской области на цели, установленные правилами;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5) образовательная организация не должна являться иностранным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агентом в соответствии с Федеральным законом от 14.07.2022 №255-ФЗ «О контроле за ддеятельностью лиц, находящихся под иностранным влиянием»;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6) у образовательной организации на едином налоговом счете должна отсутствовать или не превышать размер, определенн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ый </w:t>
      </w:r>
      <w:hyperlink r:id="rId13" w:tooltip="https://login.consultant.ru/link/?req=doc&amp;base=LAW&amp;n=451215&amp;dst=5769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пунктом 3 статьи 47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Налогового кодекса Российской Федерации, задолженность по уплате налогов,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сборов и страховых взносов в бюджеты бюджетной системы Российской Федерации;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7) у образовательной организации должна отсутствовать просроченная задолженность по возврату в областной бюджет Новосибирской области иных субсидий, бюджетных инвестиций, а также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иная просроченная (неурегулированная) задолженность по денежным обязательствам перед Новосибирской областью (за исключением случаев, установленных Правительством Новосибирской области);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8) образовательная организация не должна находиться в процессе реорганизации (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 исключением реорганизации в форме присоединения к образовательной организации другого юридического лица), ликвидации, в отношении образовательной организации не должна быть введена процедура банкротства, деятельность образовательной организации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не должна быть приостановлена в порядке, предусмотренном законодательством Российской Федерации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9)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en-US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образовательная организация должна находится в реестре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образовательных организаций;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10) образовательная организация должна иметь лицензию на осуществление образовательной деятельности по дополнительному профессиональному образованию.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Управление делами Губернатора Новосибирской области и Правительства Новосибирской области проводит проверку образовательной организации на соответствие требованиям, указанным в настоящем пункте, в порядке, установленном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постановлением Правительства Российской Федерации от 25.10.2023 № 1781 «Об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льным предпринимателям, а также физическим лицам - производителям товаров, работ, услуг» (далее - Правила отбора получателей субсидий), в течение 10 рабочих дней с момента окончания срока подачи заявок, установленного в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u w:val="none"/>
        </w:rPr>
        <w:t xml:space="preserve">объявлении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о проведении отбора получателей гранта.»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)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пункте 5: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а) абзац первый изложить в следующей редакции: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«5. По результатам отбора получателей грантов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между управлением делами Губ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ернатора Новосибирской области и Правительства Новосибирской области и образовательной организацией  - победителем отбора грантов (далее – получатель гранта) заключается соглашение. Соглашение, дополнительное соглашение о внесении в него изменений, а также дополнительное соглашение о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его расторжении (при необходимости) подготавливаются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u w:val="none"/>
        </w:rPr>
        <w:t xml:space="preserve">в соответствии с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u w:val="none"/>
        </w:rPr>
        <w:t xml:space="preserve">типовыми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u w:val="none"/>
        </w:rPr>
        <w:t xml:space="preserve">формами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u w:val="none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утвержденными приказом министерства финансов и налоговой политики Новосибирской области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и заключаются в государственной интегрированной информационной системе управления общественными финансами «Электронный бюджет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» (далее – система «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Электронный бюджет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»).;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б) дополнить подпунктом 7 следующего содержания: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«7) условие о согласовани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 новых условий соглашения или о расторжении соглашения при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недостижении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согласия по новым условиям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случае уменьшения управлению делами Губернатора Новосибирской области и Правительства Новосибирской области ранее доведенных лимитов бюджетных обязательств, приводящего к невозможности предоставления гранта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размере, определенном в соглашении.»;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5) 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пункт 6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изложить в следующей редакции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«6. 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Для подтверждения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соответствия образовательной организации требованиям, указанным в </w:t>
      </w:r>
      <w:hyperlink r:id="rId14" w:tooltip="https://login.consultant.ru/link/?req=doc&amp;base=RLAW049&amp;n=164094&amp;dst=100106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пункте 4.1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 правил,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фактически произведенных затрат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необходимо предоставление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образовательной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организацией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порядке,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установленном Правилами отбора получателей субсидий, а также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соответствии с требованиями и в сроки, указанные в объявлении о проведении отбора получателей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грантов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1) заявки, подписанной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усиленной квалифицированной электронной подписью руководителя образовательной организации или уполномоченного им лиц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2) 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согласия органа государственной власт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 (государственного органа) и (или) органа местного самоуправления, осуществляющих функции и полномочия учредителя в отношении образовательных организаций, являющихся бюджетными или автономными учреждениями, на участие таких образовательных организаций в 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тборе, проводимом управлением делами Губернатора Новосибирской области и Правительства Новосибирской области, не осуществляющего в отношении их функций и полномочий учредителя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3) 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образовательных сертификатов гражданских служащих, успешно освоивших соответствующую дополнительную профессиональную программу, заполненных уполномоченным представителем образовательной организации;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) образовательных сертификатов гражданских служащих, не прошедших итоговую аттестацию или получивших на итоговой аттестации неудовлетворительные результаты, освоивших часть дополнительной профессиональной программы и (или) отчисленных из образовательной ор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ганизации, заполненных уполномоченным представителем образовательной организации;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5) копий документов о зачислении гражданских служащих на обучение по соответствующим дополнительным профессиональным программам;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6) копий документов об отчислении гражданских служащих в связи завершением обучения по соответствующим дополнительным профессиональным программам;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7) копий удостоверений о повышении квалификации или дипломов о профессиональной переподготовке, полученных гражданскими служащими, успешно освоившими соответствующую дополнительную профессиональную программу;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8) 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отчета о достижении значений результатов предоставления субсидии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в виде отчета о проведении обучения гражданских служащих по соответствующей дополнительной профессиональной программе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 форме согласно приложению к настоящим правилам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9) документов, подтверждающих фактически понесенные образовательной организацией затраты в связи с обучением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гражданских служащих на основании образовательных сертификатов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в виде отчета, составленного по форме отчета о расходах источником финансового обеспечения которых является грант, утвержденной приказом министерства и налоговой политики Новосибирской области.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Заявка формируется образовательной организацией в электронной форме посредством заполнения соответствующих экранных форм веб-интерфейса системы «Электронный бюджет» и представления в систему «Электронный бюджет» электронных копий документов (доку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ментов на бумажном носителе, преобразованных в электронную форму путем сканирования)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указанных в подпунктах 2 - 9 настоящего пункта.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Электронные копии документов,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Фото- и видеоматериалы, включаемые в заявку, должны содержать четкое и контрастное изображение высокого качества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 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пункт 7 изложить в новой редакции: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7. 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Отбор образовательных организаций на получение гранта осуществляется в соответствии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Правилами отбора получателей субсидий.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пособ отбора образовательных организаций на получение гранта определяется управлени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делами Губернатора Новосибирской области и Правительства Новосибирской области.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7) 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пункте 8: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а) абзац первый - четвертый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«8. Основаниями для отказа в предоставлении образовательной организации гранта являются: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1) отсутствие образовательной организации в реестре образовательных организаций;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2) 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несоответствие представленных образовательной организацией информации и документов требованиям, определенным пунктом 6 правил, или непредставление (представление не в полном объеме) информации и документов, указанных в пунктах 4.1. и 6 правил;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3) установление факта недостоверности информации, представленной образовательной организацией.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б)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одпу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нкты 4 и 5 признать утратившими силу;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8) пункт 9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«9. При реорганизации получателя гранта, в форме слияния, присоединения или преобразования в соглашение вносятся изменения путем заключения дополнительного со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глашения к соглашению в части перемены лица в обязательстве с указанием в соглашении юридического лица, являющегося правопреемником.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 реорганизации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получателя гранта,</w:t>
      </w:r>
      <w:r/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в форме разделения, выделения, а также при ликвидации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получателя гранта,</w:t>
      </w:r>
      <w:r/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соглашение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гранта обязательствах, источником финансового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обеспечения которы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х является грант, и возврате неиспользованного остатка гранта в областной бюджет Новосибирской области.»;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9) абзац первый пункта 11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«11. 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 позднее 10-го рабочего дня, следующего за днем принятия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управлением делами Губернатора Новосибирской области и Правительства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по результатам рассмотрения и проверки им документов,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указанных в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ункте 6 правил, в сроки,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указанные в объявлении о проведении отбора получателей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грантов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решения о предоставлении гранта, грант перечисляется образовательной организации: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»;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10) в пункте 12: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а) абзац первый пункта 12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12.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Грант предоставляется на возмещение:»;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б) в подпунктах 1, 13 слова 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Пенсионный фо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 Российской Федерации, Фонд социального страхования Российской Федерации и Федеральный фонд обязательного медицинского страхования, страховые взносы на обязательное социальное страхование от несчастных случаев на производстве и профессиональных заболевани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» заменить словами 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государственные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внебюджетные фонды Российской Федерации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».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11) пункт 14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«14. 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Отчет о достижении значений результатов предоставления субсидии (гранта) (дале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 – отчет) предоставляется образовательной организацией в составе заявки в соответствии с пунктом 6 правил. Проверка отчета осуществляется управлением делами Губернатора Новосибирской области и Правительства Новосибирской области  в порядке, установленном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Правилами отбора получателей субсидий, в течение 10 рабочих дней с момента окончания срока подачи заявок, установленного в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u w:val="none"/>
        </w:rPr>
        <w:t xml:space="preserve">объявлении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о проведении отбора получателей гранта.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12) 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пункте 15 слова «целей, условий и порядка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» заменить словами 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условий и порядка, установленных при предоставлении гранта, а также в случае недостижения значений ре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зультатов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»;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13) пункт 16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«16. Управлением делами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Губернатора Новосибирской области и Правительства Новосибирской области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осуществляются проверки соблюден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ия порядка и условий предоставления грантов, в том числе в части достижения результата предоставления субсидии.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Органами государственного финансового контроля осуществляются проверки в соответствии со </w:t>
      </w:r>
      <w:hyperlink r:id="rId15" w:tooltip="https://login.consultant.ru/link/?req=doc&amp;base=LAW&amp;n=431888&amp;dst=3704" w:history="1">
        <w:r>
          <w:rPr>
            <w:rFonts w:ascii="Times New Roman" w:hAnsi="Times New Roman" w:cs="Times New Roman"/>
            <w:sz w:val="28"/>
            <w:szCs w:val="28"/>
            <w:highlight w:val="white"/>
          </w:rPr>
          <w:t xml:space="preserve">статьями 268.1</w:t>
        </w:r>
      </w:hyperlink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</w:t>
      </w:r>
      <w:hyperlink r:id="rId16" w:tooltip="https://login.consultant.ru/link/?req=doc&amp;base=LAW&amp;n=431888&amp;dst=3722" w:history="1">
        <w:r>
          <w:rPr>
            <w:rFonts w:ascii="Times New Roman" w:hAnsi="Times New Roman" w:cs="Times New Roman"/>
            <w:sz w:val="28"/>
            <w:szCs w:val="28"/>
            <w:highlight w:val="white"/>
          </w:rPr>
          <w:t xml:space="preserve">269.2</w:t>
        </w:r>
      </w:hyperlink>
      <w:r>
        <w:rPr>
          <w:rFonts w:ascii="Times New Roman" w:hAnsi="Times New Roman" w:cs="Times New Roman"/>
          <w:sz w:val="28"/>
          <w:szCs w:val="28"/>
          <w:highlight w:val="white"/>
        </w:rPr>
        <w:t xml:space="preserve"> Бюджетного кодекса Р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оссийской Федерации.».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5. 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Настоящее постановление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, за исключением пунктов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2 и 3,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вступает в силу с 1 января 2025 года.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6. 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Пункты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2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и 3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настоящего постановления вступает в силу с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момента подписания настоящего постановления.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Новосибирской области                                                    А.А. Травников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В.Г. Манев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238 64 45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Губернатора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tabs>
          <w:tab w:val="left" w:pos="7950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                                                                          Ю.Ф. Петухов</w:t>
      </w:r>
      <w:r/>
      <w:r/>
    </w:p>
    <w:p>
      <w:pPr>
        <w:spacing w:after="0" w:line="240" w:lineRule="auto"/>
        <w:tabs>
          <w:tab w:val="left" w:pos="7950" w:leader="none"/>
        </w:tabs>
      </w:pPr>
      <w:r/>
      <w:r/>
      <w:r/>
    </w:p>
    <w:p>
      <w:pPr>
        <w:ind w:left="6236" w:hanging="6236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«___</w:t>
      </w:r>
      <w:r>
        <w:rPr>
          <w:rFonts w:ascii="Times New Roman" w:hAnsi="Times New Roman" w:cs="Times New Roman"/>
          <w:sz w:val="28"/>
          <w:szCs w:val="28"/>
        </w:rPr>
        <w:t xml:space="preserve">_»_</w:t>
      </w:r>
      <w:r>
        <w:rPr>
          <w:rFonts w:ascii="Times New Roman" w:hAnsi="Times New Roman" w:cs="Times New Roman"/>
          <w:sz w:val="28"/>
          <w:szCs w:val="28"/>
        </w:rPr>
        <w:t xml:space="preserve">_________2024 г.</w:t>
      </w:r>
      <w:r/>
      <w:r/>
    </w:p>
    <w:p>
      <w:pPr>
        <w:ind w:left="6372"/>
        <w:spacing w:after="0" w:line="240" w:lineRule="auto"/>
      </w:pPr>
      <w:r/>
      <w:r/>
      <w:r/>
    </w:p>
    <w:p>
      <w:pPr>
        <w:ind w:left="6372"/>
        <w:spacing w:after="0" w:line="240" w:lineRule="auto"/>
      </w:pPr>
      <w:r/>
      <w:r/>
      <w:r/>
    </w:p>
    <w:p>
      <w:pPr>
        <w:spacing w:after="0" w:line="240" w:lineRule="auto"/>
      </w:pPr>
      <w:r/>
      <w:r/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</w:t>
      </w:r>
      <w:r/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– министр финансов </w:t>
      </w:r>
      <w:r/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и налоговой политики Новосибирской области                                 В.Ю. Голубенко </w:t>
      </w:r>
      <w:r/>
      <w:r/>
    </w:p>
    <w:p>
      <w:pPr>
        <w:spacing w:after="0" w:line="240" w:lineRule="auto"/>
      </w:pPr>
      <w:r/>
      <w:r/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«___</w:t>
      </w:r>
      <w:r>
        <w:rPr>
          <w:rFonts w:ascii="Times New Roman" w:hAnsi="Times New Roman" w:cs="Times New Roman"/>
          <w:sz w:val="28"/>
          <w:szCs w:val="28"/>
        </w:rPr>
        <w:t xml:space="preserve">_»_</w:t>
      </w:r>
      <w:r>
        <w:rPr>
          <w:rFonts w:ascii="Times New Roman" w:hAnsi="Times New Roman" w:cs="Times New Roman"/>
          <w:sz w:val="28"/>
          <w:szCs w:val="28"/>
        </w:rPr>
        <w:t xml:space="preserve">_________2024 г.</w:t>
      </w:r>
      <w:r/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Министр юстиции Новосибирской области                                               Т.Н. </w:t>
      </w:r>
      <w:r>
        <w:rPr>
          <w:rFonts w:ascii="Times New Roman" w:hAnsi="Times New Roman" w:cs="Times New Roman"/>
          <w:sz w:val="28"/>
          <w:szCs w:val="28"/>
        </w:rPr>
        <w:t xml:space="preserve">Деркач</w:t>
      </w:r>
      <w:r/>
      <w:r/>
    </w:p>
    <w:p>
      <w:pPr>
        <w:spacing w:after="0" w:line="240" w:lineRule="auto"/>
      </w:pPr>
      <w:r/>
      <w:r/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«___</w:t>
      </w:r>
      <w:r>
        <w:rPr>
          <w:rFonts w:ascii="Times New Roman" w:hAnsi="Times New Roman" w:cs="Times New Roman"/>
          <w:sz w:val="28"/>
          <w:szCs w:val="28"/>
        </w:rPr>
        <w:t xml:space="preserve">_»_</w:t>
      </w:r>
      <w:r>
        <w:rPr>
          <w:rFonts w:ascii="Times New Roman" w:hAnsi="Times New Roman" w:cs="Times New Roman"/>
          <w:sz w:val="28"/>
          <w:szCs w:val="28"/>
        </w:rPr>
        <w:t xml:space="preserve">_________2024г.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Verdana" w:cs="Times New Roman"/>
          <w:color w:val="000000"/>
          <w:sz w:val="28"/>
          <w:szCs w:val="28"/>
        </w:rPr>
      </w:pPr>
      <w:r>
        <w:rPr>
          <w:rFonts w:ascii="Times New Roman" w:hAnsi="Times New Roman" w:eastAsia="Verdana" w:cs="Times New Roman"/>
          <w:color w:val="000000"/>
          <w:sz w:val="28"/>
          <w:szCs w:val="28"/>
          <w:highlight w:val="none"/>
        </w:rPr>
        <w:t xml:space="preserve">И.о.р</w:t>
      </w:r>
      <w:r>
        <w:rPr>
          <w:rFonts w:ascii="Times New Roman" w:hAnsi="Times New Roman" w:eastAsia="Verdana" w:cs="Times New Roman"/>
          <w:color w:val="000000"/>
          <w:sz w:val="28"/>
          <w:szCs w:val="28"/>
          <w:highlight w:val="white"/>
        </w:rPr>
        <w:t xml:space="preserve">уководителя департамента</w:t>
      </w:r>
      <w:r>
        <w:rPr>
          <w:rFonts w:ascii="Times New Roman" w:hAnsi="Times New Roman" w:eastAsia="Verdana" w:cs="Times New Roman"/>
          <w:color w:val="000000"/>
          <w:sz w:val="28"/>
          <w:szCs w:val="28"/>
        </w:rPr>
        <w:t xml:space="preserve"> организации управления </w:t>
      </w:r>
      <w:r>
        <w:rPr>
          <w:rFonts w:ascii="Times New Roman" w:hAnsi="Times New Roman" w:eastAsia="Verdana" w:cs="Times New Roman"/>
          <w:color w:val="000000"/>
          <w:sz w:val="28"/>
          <w:szCs w:val="28"/>
        </w:rPr>
      </w:r>
      <w:r>
        <w:rPr>
          <w:rFonts w:ascii="Times New Roman" w:hAnsi="Times New Roman" w:eastAsia="Verdana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Verdana" w:cs="Times New Roman"/>
          <w:color w:val="000000"/>
          <w:sz w:val="28"/>
          <w:szCs w:val="28"/>
        </w:rPr>
      </w:pPr>
      <w:r>
        <w:rPr>
          <w:rFonts w:ascii="Times New Roman" w:hAnsi="Times New Roman" w:eastAsia="Verdana" w:cs="Times New Roman"/>
          <w:color w:val="000000"/>
          <w:sz w:val="28"/>
          <w:szCs w:val="28"/>
        </w:rPr>
        <w:t xml:space="preserve">и государственной гражданской службы</w:t>
      </w:r>
      <w:r>
        <w:rPr>
          <w:rFonts w:ascii="Times New Roman" w:hAnsi="Times New Roman" w:eastAsia="Verdana" w:cs="Times New Roman"/>
          <w:color w:val="000000"/>
          <w:sz w:val="28"/>
          <w:szCs w:val="28"/>
        </w:rPr>
      </w:r>
      <w:r>
        <w:rPr>
          <w:rFonts w:ascii="Times New Roman" w:hAnsi="Times New Roman" w:eastAsia="Verdana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Verdana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Verdana" w:cs="Times New Roman"/>
          <w:color w:val="000000"/>
          <w:sz w:val="28"/>
          <w:szCs w:val="28"/>
        </w:rPr>
        <w:t xml:space="preserve">администрации </w:t>
      </w:r>
      <w:r>
        <w:rPr>
          <w:rFonts w:ascii="Times New Roman" w:hAnsi="Times New Roman" w:eastAsia="Verdana" w:cs="Times New Roman"/>
          <w:color w:val="000000"/>
          <w:sz w:val="28"/>
          <w:szCs w:val="28"/>
          <w:highlight w:val="white"/>
        </w:rPr>
        <w:t xml:space="preserve">Губернатора Новосибирской области и </w:t>
      </w:r>
      <w:r>
        <w:rPr>
          <w:rFonts w:ascii="Times New Roman" w:hAnsi="Times New Roman" w:eastAsia="Verdana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Verdana" w:cs="Times New Roman"/>
          <w:color w:val="000000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eastAsia="Verdana" w:cs="Times New Roman"/>
          <w:color w:val="000000"/>
          <w:sz w:val="28"/>
          <w:szCs w:val="28"/>
        </w:rPr>
      </w:pPr>
      <w:r>
        <w:rPr>
          <w:rFonts w:ascii="Times New Roman" w:hAnsi="Times New Roman" w:eastAsia="Verdana" w:cs="Times New Roman"/>
          <w:color w:val="000000"/>
          <w:sz w:val="28"/>
          <w:szCs w:val="28"/>
          <w:highlight w:val="white"/>
        </w:rPr>
        <w:t xml:space="preserve">Правительства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eastAsia="Verdana" w:cs="Times New Roman"/>
          <w:color w:val="000000"/>
          <w:sz w:val="28"/>
          <w:szCs w:val="28"/>
        </w:rPr>
        <w:t xml:space="preserve">                               Н.К. Авдеева</w:t>
      </w:r>
      <w:r>
        <w:rPr>
          <w:rFonts w:ascii="Times New Roman" w:hAnsi="Times New Roman" w:eastAsia="Verdana" w:cs="Times New Roman"/>
          <w:color w:val="000000"/>
          <w:sz w:val="28"/>
          <w:szCs w:val="28"/>
        </w:rPr>
      </w:r>
      <w:r>
        <w:rPr>
          <w:rFonts w:ascii="Times New Roman" w:hAnsi="Times New Roman" w:eastAsia="Verdana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«___</w:t>
      </w:r>
      <w:r>
        <w:rPr>
          <w:rFonts w:ascii="Times New Roman" w:hAnsi="Times New Roman" w:cs="Times New Roman"/>
          <w:sz w:val="28"/>
          <w:szCs w:val="28"/>
        </w:rPr>
        <w:t xml:space="preserve">_»_</w:t>
      </w:r>
      <w:r>
        <w:rPr>
          <w:rFonts w:ascii="Times New Roman" w:hAnsi="Times New Roman" w:cs="Times New Roman"/>
          <w:sz w:val="28"/>
          <w:szCs w:val="28"/>
        </w:rPr>
        <w:t xml:space="preserve">_________2024г.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/>
      <w:r/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line="240" w:lineRule="auto"/>
        <w:tabs>
          <w:tab w:val="left" w:pos="7380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Управляющий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делами Губернатора</w:t>
      </w:r>
      <w:r/>
      <w:r/>
    </w:p>
    <w:p>
      <w:pPr>
        <w:spacing w:after="0" w:line="240" w:lineRule="auto"/>
        <w:tabs>
          <w:tab w:val="left" w:pos="7380" w:leader="none"/>
        </w:tabs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Новосибирской области и Правительства</w:t>
      </w:r>
      <w:r/>
      <w:r/>
    </w:p>
    <w:p>
      <w:pPr>
        <w:spacing w:after="0" w:line="240" w:lineRule="auto"/>
        <w:tabs>
          <w:tab w:val="left" w:pos="7380" w:leader="none"/>
        </w:tabs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В.Г. Манев</w:t>
      </w:r>
      <w:r/>
      <w:r/>
    </w:p>
    <w:p>
      <w:pPr>
        <w:spacing w:after="0" w:line="240" w:lineRule="auto"/>
      </w:pPr>
      <w:r/>
      <w:r/>
      <w:r/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«___</w:t>
      </w:r>
      <w:r>
        <w:rPr>
          <w:rFonts w:ascii="Times New Roman" w:hAnsi="Times New Roman" w:cs="Times New Roman"/>
          <w:sz w:val="28"/>
          <w:szCs w:val="28"/>
        </w:rPr>
        <w:t xml:space="preserve">_»_</w:t>
      </w:r>
      <w:r>
        <w:rPr>
          <w:rFonts w:ascii="Times New Roman" w:hAnsi="Times New Roman" w:cs="Times New Roman"/>
          <w:sz w:val="28"/>
          <w:szCs w:val="28"/>
        </w:rPr>
        <w:t xml:space="preserve">_________2024 г.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правовой и кадров</w:t>
      </w:r>
      <w:r>
        <w:rPr>
          <w:rFonts w:ascii="Times New Roman" w:hAnsi="Times New Roman" w:cs="Times New Roman"/>
          <w:sz w:val="24"/>
          <w:szCs w:val="24"/>
        </w:rPr>
        <w:t xml:space="preserve">ой работы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</w:pPr>
      <w:r>
        <w:rPr>
          <w:rFonts w:ascii="Times New Roman" w:hAnsi="Times New Roman" w:cs="Times New Roman"/>
          <w:sz w:val="24"/>
          <w:szCs w:val="24"/>
        </w:rPr>
        <w:t xml:space="preserve">управления делами Губернатора Новосибирской области и </w:t>
      </w:r>
      <w:r/>
      <w:r/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Правительства Новосибирской области</w:t>
      </w:r>
      <w:r>
        <w:rPr>
          <w:rFonts w:ascii="Times New Roman" w:hAnsi="Times New Roman" w:cs="Times New Roman"/>
        </w:rPr>
        <w:t xml:space="preserve">                                                                                Т.В. Демкова</w:t>
      </w:r>
      <w:r>
        <w:rPr>
          <w:rFonts w:ascii="Times New Roman" w:hAnsi="Times New Roman" w:cs="Times New Roman"/>
          <w:b/>
          <w:bCs/>
          <w:sz w:val="18"/>
          <w:szCs w:val="18"/>
        </w:rPr>
      </w:r>
      <w:r>
        <w:rPr>
          <w:rFonts w:ascii="Times New Roman" w:hAnsi="Times New Roman" w:cs="Times New Roman"/>
          <w:b/>
          <w:bCs/>
          <w:sz w:val="18"/>
          <w:szCs w:val="18"/>
        </w:rPr>
      </w:r>
    </w:p>
    <w:p>
      <w:pPr>
        <w:spacing w:after="0" w:line="240" w:lineRule="auto"/>
        <w:tabs>
          <w:tab w:val="left" w:pos="7380" w:leader="none"/>
        </w:tabs>
      </w:pPr>
      <w:r/>
      <w:r/>
      <w:r/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</w:r>
      <w:r>
        <w:rPr>
          <w:rFonts w:ascii="Times New Roman" w:hAnsi="Times New Roman" w:cs="Times New Roman"/>
          <w:b/>
          <w:bCs/>
          <w:sz w:val="18"/>
          <w:szCs w:val="18"/>
        </w:rPr>
      </w:r>
      <w:r>
        <w:rPr>
          <w:rFonts w:ascii="Times New Roman" w:hAnsi="Times New Roman" w:cs="Times New Roman"/>
          <w:b/>
          <w:bCs/>
          <w:sz w:val="18"/>
          <w:szCs w:val="18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567" w:bottom="1134" w:left="1417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login.consultant.ru/link/?req=doc&amp;base=LAW&amp;n=464203&amp;dst=286" TargetMode="External"/><Relationship Id="rId9" Type="http://schemas.openxmlformats.org/officeDocument/2006/relationships/hyperlink" Target="https://login.consultant.ru/link/?req=doc&amp;base=LAW&amp;n=450581" TargetMode="External"/><Relationship Id="rId10" Type="http://schemas.openxmlformats.org/officeDocument/2006/relationships/hyperlink" Target="https://login.consultant.ru/link/?req=doc&amp;base=RLAW049&amp;n=145310&amp;dst=100017" TargetMode="External"/><Relationship Id="rId11" Type="http://schemas.openxmlformats.org/officeDocument/2006/relationships/hyperlink" Target="https://login.consultant.ru/link/?req=doc&amp;base=LAW&amp;n=420230&amp;dst=100010" TargetMode="External"/><Relationship Id="rId12" Type="http://schemas.openxmlformats.org/officeDocument/2006/relationships/hyperlink" Target="https://login.consultant.ru/link/?req=doc&amp;base=LAW&amp;n=121087&amp;dst=100142" TargetMode="External"/><Relationship Id="rId13" Type="http://schemas.openxmlformats.org/officeDocument/2006/relationships/hyperlink" Target="https://login.consultant.ru/link/?req=doc&amp;base=LAW&amp;n=451215&amp;dst=5769" TargetMode="External"/><Relationship Id="rId14" Type="http://schemas.openxmlformats.org/officeDocument/2006/relationships/hyperlink" Target="https://login.consultant.ru/link/?req=doc&amp;base=RLAW049&amp;n=164094&amp;dst=100106" TargetMode="External"/><Relationship Id="rId15" Type="http://schemas.openxmlformats.org/officeDocument/2006/relationships/hyperlink" Target="https://login.consultant.ru/link/?req=doc&amp;base=LAW&amp;n=431888&amp;dst=3704" TargetMode="External"/><Relationship Id="rId16" Type="http://schemas.openxmlformats.org/officeDocument/2006/relationships/hyperlink" Target="https://login.consultant.ru/link/?req=doc&amp;base=LAW&amp;n=431888&amp;dst=3722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2024-10-21T09:36:23Z</dcterms:modified>
</cp:coreProperties>
</file>