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Губернатора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Губернатора Новоси</w:t>
      </w:r>
      <w:r>
        <w:rPr>
          <w:rFonts w:ascii="Times New Roman" w:hAnsi="Times New Roman" w:cs="Times New Roman"/>
          <w:bCs/>
          <w:sz w:val="28"/>
          <w:szCs w:val="28"/>
        </w:rPr>
        <w:t xml:space="preserve">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06.12.2013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297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 о с т а н о в л я 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Губерна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тора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06.12.2013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297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>
        <w:rPr>
          <w:rFonts w:ascii="Times New Roman" w:hAnsi="Times New Roman" w:cs="Times New Roman"/>
          <w:bCs/>
          <w:sz w:val="28"/>
          <w:szCs w:val="28"/>
        </w:rPr>
        <w:t xml:space="preserve">ежемесячно выплачиваемой стип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ендии спортсменам, проживающим на территории Новосибирской области,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1.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Пункт 3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 Контроль 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исполнением постановления возложить на заместителя Губернатора Новосиб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ирской области Дудникову В.А.»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</w:t>
      </w:r>
      <w:r>
        <w:rPr>
          <w:rFonts w:ascii="Times New Roman" w:hAnsi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 2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приложения № 1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Размер ежемесячно выплачиваемой стип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ендии спортсменам, проживающим на территории Новосибирской области,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  <w:t xml:space="preserve">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bCs w:val="0"/>
          <w:i w:val="0"/>
          <w:color w:val="auto"/>
        </w:rPr>
      </w:pPr>
      <w:r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2. 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Стипендия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предоставляется в следующих размерах:</w:t>
      </w:r>
      <w:r>
        <w:rPr>
          <w:bCs w:val="0"/>
          <w:i w:val="0"/>
          <w:color w:val="auto"/>
        </w:rPr>
      </w:r>
      <w:r>
        <w:rPr>
          <w:bCs w:val="0"/>
          <w:i w:val="0"/>
          <w:color w:val="auto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r>
    </w:p>
    <w:tbl>
      <w:tblPr>
        <w:tblW w:w="9985" w:type="dxa"/>
        <w:tblInd w:w="-1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458"/>
        <w:gridCol w:w="1273"/>
        <w:gridCol w:w="1134"/>
        <w:gridCol w:w="1120"/>
      </w:tblGrid>
      <w:tr>
        <w:tblPrEx/>
        <w:trPr>
          <w:trHeight w:val="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Стипендии </w:t>
            </w:r>
            <w:r>
              <w:rPr>
                <w:rFonts w:ascii="Times New Roman" w:hAnsi="Times New Roman" w:cs="Times New Roman"/>
                <w:szCs w:val="24"/>
              </w:rPr>
              <w:t xml:space="preserve">спортсменам</w:t>
            </w:r>
            <w:r>
              <w:rPr>
                <w:rFonts w:ascii="Times New Roman" w:hAnsi="Times New Roman" w:cs="Times New Roman"/>
                <w:szCs w:val="24"/>
              </w:rPr>
              <w:t xml:space="preserve"> выступающим в личных со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ревнованиях и (или) в командных дисциплинах соревнований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уровень спортивных соревнований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размер стипендии в денежной форме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 xml:space="preserve">руб.)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первое место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второе место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третье место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Спортивные дисциплины соответствующего вида спорта </w:t>
            </w:r>
            <w:r>
              <w:rPr>
                <w:rFonts w:ascii="Times New Roman" w:hAnsi="Times New Roman" w:cs="Times New Roman"/>
                <w:szCs w:val="24"/>
              </w:rPr>
              <w:t xml:space="preserve">включенным</w:t>
            </w:r>
            <w:r>
              <w:rPr>
                <w:rFonts w:ascii="Times New Roman" w:hAnsi="Times New Roman" w:cs="Times New Roman"/>
                <w:szCs w:val="24"/>
              </w:rPr>
              <w:t xml:space="preserve"> в программу Олимпийских игр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Олимпийские игры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39000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29900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t xml:space="preserve">29900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Чемпионаты мира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299</w:t>
            </w:r>
            <w:r>
              <w:rPr>
                <w:rFonts w:ascii="Times New Roman" w:hAnsi="Times New Roman" w:cs="Times New Roman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221</w:t>
            </w:r>
            <w:r>
              <w:rPr>
                <w:rFonts w:ascii="Times New Roman" w:hAnsi="Times New Roman" w:cs="Times New Roman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221</w:t>
            </w:r>
            <w:r>
              <w:rPr>
                <w:rFonts w:ascii="Times New Roman" w:hAnsi="Times New Roman" w:cs="Times New Roman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Кубки мира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221</w:t>
            </w:r>
            <w:r>
              <w:rPr>
                <w:rFonts w:ascii="Times New Roman" w:hAnsi="Times New Roman" w:cs="Times New Roman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</w:t>
            </w:r>
            <w:r>
              <w:rPr>
                <w:rFonts w:ascii="Times New Roman" w:hAnsi="Times New Roman" w:cs="Times New Roman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</w:t>
            </w:r>
            <w:r>
              <w:rPr>
                <w:rFonts w:ascii="Times New Roman" w:hAnsi="Times New Roman" w:cs="Times New Roman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Чемпионаты Европы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221</w:t>
            </w:r>
            <w:r>
              <w:rPr>
                <w:rFonts w:ascii="Times New Roman" w:hAnsi="Times New Roman" w:cs="Times New Roman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</w:t>
            </w:r>
            <w:r>
              <w:rPr>
                <w:rFonts w:ascii="Times New Roman" w:hAnsi="Times New Roman" w:cs="Times New Roman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</w:t>
            </w:r>
            <w:r>
              <w:rPr>
                <w:rFonts w:ascii="Times New Roman" w:hAnsi="Times New Roman" w:cs="Times New Roman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Игры стран СНГ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Кубки Европы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</w:t>
            </w:r>
            <w:r>
              <w:rPr>
                <w:rFonts w:ascii="Times New Roman" w:hAnsi="Times New Roman" w:cs="Times New Roman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</w:t>
            </w:r>
            <w:r>
              <w:rPr>
                <w:rFonts w:ascii="Times New Roman" w:hAnsi="Times New Roman" w:cs="Times New Roman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</w:t>
            </w:r>
            <w:r>
              <w:rPr>
                <w:rFonts w:ascii="Times New Roman" w:hAnsi="Times New Roman" w:cs="Times New Roman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Всероссийская спартакиада среди сильнейших спортсменов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Чемпионат России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13000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Первенства мира среди молодежи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10400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Первенства мира среди юниоров и юниорок, юношей и девушек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Кубок России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Первенства Европы среди молодежи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Первенства Европы среди юниоров и юниорок, юношей и девушек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4550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4550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Первенство России среди молодежи, 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Cs w:val="24"/>
                <w:highlight w:val="none"/>
              </w:rPr>
              <w:t xml:space="preserve">юниоров и юниорок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3500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3500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Спартакиада молодежи России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4500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2500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2500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Спартакиада учащихся России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1500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1500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Спортивные дисциплины соответствующего вида спорта не входящие в программу Олимпийских игр </w:t>
            </w:r>
            <w:r>
              <w:rPr>
                <w:rFonts w:ascii="Times New Roman" w:hAnsi="Times New Roman" w:cs="Times New Roman"/>
                <w:szCs w:val="24"/>
              </w:rPr>
              <w:t xml:space="preserve">Паралимпийских</w:t>
            </w:r>
            <w:r>
              <w:rPr>
                <w:rFonts w:ascii="Times New Roman" w:hAnsi="Times New Roman" w:cs="Times New Roman"/>
                <w:szCs w:val="24"/>
              </w:rPr>
              <w:t xml:space="preserve"> игр </w:t>
            </w:r>
            <w:r>
              <w:rPr>
                <w:rFonts w:ascii="Times New Roman" w:hAnsi="Times New Roman" w:cs="Times New Roman"/>
                <w:szCs w:val="24"/>
              </w:rPr>
              <w:t xml:space="preserve">Сурдлимпийских</w:t>
            </w:r>
            <w:r>
              <w:rPr>
                <w:rFonts w:ascii="Times New Roman" w:hAnsi="Times New Roman" w:cs="Times New Roman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Чемпионаты мира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Кубки мира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7800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7800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Чемпионаты Европы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7800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7800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Кубки Европы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7800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5200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5200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Первенства мира среди молодежи 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6500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5460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5460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Первенства мира среди 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юниоров и юниорок, юношей и девушек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5460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3550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3550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trike w:val="0"/>
                <w:color w:val="auto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trike w:val="0"/>
                <w:color w:val="auto"/>
                <w:szCs w:val="24"/>
                <w:highlight w:val="none"/>
              </w:rPr>
              <w:t xml:space="preserve">Первенство Европы среди молодежи </w:t>
            </w:r>
            <w:r>
              <w:rPr>
                <w:rFonts w:ascii="Times New Roman" w:hAnsi="Times New Roman" w:cs="Times New Roman"/>
                <w:strike w:val="0"/>
                <w:color w:val="auto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trike w:val="0"/>
                <w:color w:val="auto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4500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trike w:val="0"/>
                <w:color w:val="auto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trike w:val="0"/>
                <w:color w:val="auto"/>
                <w:highlight w:val="none"/>
              </w:rPr>
              <w:t xml:space="preserve">Первенство Европы среди </w:t>
            </w:r>
            <w:r>
              <w:rPr>
                <w:rFonts w:ascii="Times New Roman" w:hAnsi="Times New Roman" w:cs="Times New Roman"/>
                <w:strike w:val="0"/>
                <w:color w:val="auto"/>
                <w:highlight w:val="none"/>
              </w:rPr>
              <w:t xml:space="preserve">юниоров и юниорок, </w:t>
            </w:r>
            <w:r>
              <w:rPr>
                <w:rFonts w:ascii="Times New Roman" w:hAnsi="Times New Roman" w:cs="Times New Roman"/>
                <w:strike w:val="0"/>
                <w:color w:val="auto"/>
                <w:highlight w:val="none"/>
              </w:rPr>
              <w:t xml:space="preserve">юношей и девушек</w:t>
            </w:r>
            <w:r>
              <w:rPr>
                <w:rFonts w:ascii="Times New Roman" w:hAnsi="Times New Roman" w:cs="Times New Roman"/>
                <w:strike w:val="0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strike w:val="0"/>
                <w:color w:val="auto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3000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2500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2500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trike w:val="0"/>
                <w:color w:val="auto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trike w:val="0"/>
                <w:color w:val="auto"/>
                <w:szCs w:val="24"/>
                <w:highlight w:val="none"/>
              </w:rPr>
              <w:t xml:space="preserve">Первенство России среди </w:t>
            </w:r>
            <w:r>
              <w:rPr>
                <w:rFonts w:ascii="Times New Roman" w:hAnsi="Times New Roman" w:cs="Times New Roman"/>
                <w:szCs w:val="24"/>
              </w:rPr>
              <w:t xml:space="preserve">молодежи, 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Cs w:val="24"/>
                <w:highlight w:val="none"/>
              </w:rPr>
              <w:t xml:space="preserve">юниоров и юниорок</w:t>
            </w:r>
            <w:r>
              <w:rPr>
                <w:rFonts w:ascii="Times New Roman" w:hAnsi="Times New Roman" w:cs="Times New Roman"/>
                <w:strike w:val="0"/>
                <w:color w:val="auto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trike w:val="0"/>
                <w:color w:val="auto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3500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2000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2000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Спортивные дисциплины соответствующего вида спорта с участием спортсменов с ограниченными физическими возможностями входящие в программы </w:t>
            </w:r>
            <w:r>
              <w:rPr>
                <w:rFonts w:ascii="Times New Roman" w:hAnsi="Times New Roman" w:cs="Times New Roman"/>
                <w:szCs w:val="24"/>
              </w:rPr>
              <w:t xml:space="preserve">Паралимпийских</w:t>
            </w:r>
            <w:r>
              <w:rPr>
                <w:rFonts w:ascii="Times New Roman" w:hAnsi="Times New Roman" w:cs="Times New Roman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Cs w:val="24"/>
              </w:rPr>
              <w:t xml:space="preserve">Сурдлимпийских</w:t>
            </w:r>
            <w:r>
              <w:rPr>
                <w:rFonts w:ascii="Times New Roman" w:hAnsi="Times New Roman" w:cs="Times New Roman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Паралимпийские</w:t>
            </w:r>
            <w:r>
              <w:rPr>
                <w:rFonts w:ascii="Times New Roman" w:hAnsi="Times New Roman" w:cs="Times New Roman"/>
                <w:szCs w:val="24"/>
              </w:rPr>
              <w:t xml:space="preserve"> игры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39000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29900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t xml:space="preserve">29900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Сурдлимпийские</w:t>
            </w:r>
            <w:r>
              <w:rPr>
                <w:rFonts w:ascii="Times New Roman" w:hAnsi="Times New Roman" w:cs="Times New Roman"/>
                <w:szCs w:val="24"/>
              </w:rPr>
              <w:t xml:space="preserve"> игры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39000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29900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t xml:space="preserve">29900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Чемпионаты мира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29900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22100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22100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Кубки мира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22100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Чемпионаты Европы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22100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Кубки Европы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14950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Чемпионат России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13000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Первенства мира среди молодежи 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10400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Кубок России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Первенства мира среди юниоров и юниорок, юношей и девушек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Первенства Европы среди молодежи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9100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Первенства Европы среди юниоров и юниорок, юношей и девушек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5850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4550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4550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trike w:val="0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trike w:val="0"/>
                <w:szCs w:val="24"/>
                <w:highlight w:val="none"/>
              </w:rPr>
              <w:t xml:space="preserve">Первенство России среди </w:t>
            </w:r>
            <w:r>
              <w:rPr>
                <w:rFonts w:ascii="Times New Roman" w:hAnsi="Times New Roman" w:cs="Times New Roman"/>
                <w:szCs w:val="24"/>
              </w:rPr>
              <w:t xml:space="preserve">молодежи, 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Cs w:val="24"/>
                <w:highlight w:val="none"/>
              </w:rPr>
              <w:t xml:space="preserve">юниоров и юниорок</w:t>
            </w:r>
            <w:r>
              <w:rPr>
                <w:rFonts w:ascii="Times New Roman" w:hAnsi="Times New Roman" w:cs="Times New Roman"/>
                <w:strike w:val="0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trike w:val="0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5000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3500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3500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</w:tbl>
    <w:p>
      <w:pPr>
        <w:pStyle w:val="844"/>
        <w:ind w:left="0" w:firstLine="709"/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 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приложении № 2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Условия и порядок предоставления ежемесячно выплачиваемой стипендии спортсменам,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проживающим на территории Новосибирской области,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 пункт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1. Ежемесячно выплачиваемая стипендия спортсменам, проживающим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территории Новосибирской области,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стипендия)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первое, второе, третье места: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Олимпийских играх;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Паралимпийских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играх;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Сурдлимпийских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играх;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чемпионатах мира и Европы;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кубках мира и Европы;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чемпионатах и кубках России по спортивным дисциплинам, входящим в программы Олимпийских игр, </w:t>
      </w:r>
      <w:r>
        <w:rPr>
          <w:rFonts w:ascii="Times New Roman" w:hAnsi="Times New Roman" w:cs="Times New Roman"/>
          <w:bCs/>
          <w:sz w:val="28"/>
          <w:szCs w:val="28"/>
        </w:rPr>
        <w:t xml:space="preserve">Паралимпийских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игр,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Сурдлимпийских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игр;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первенствах мира и Европы среди молодежи, юнио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ров и юниорок, юношей и девушек;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Всероссийских спартакиадах среди сильнейших спортсменов;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на первенствах России среди молодежи, юниоров и юниорок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спартакиадах учащихся и молодежи России;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Играх стран СНГ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Стипендия предоставляется спортсменам при усло</w:t>
      </w:r>
      <w:r>
        <w:rPr>
          <w:rFonts w:ascii="Times New Roman" w:hAnsi="Times New Roman" w:cs="Times New Roman"/>
          <w:sz w:val="28"/>
          <w:szCs w:val="28"/>
        </w:rPr>
        <w:t xml:space="preserve">вии, что виды спорта и спортивные дисциплины, по которым они выступают на официальных соревнованиях в составе спортивных сборных команд Российской Федерации или спортивных сборных команд Новосибирской области, включены во Всероссийский реестр видов спорта.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Стипендия предоставляется спортсменам при условии их проживания на территории Новосибирской области на дату достижения спортивного результата по итогам участия в спортивном соревновании, указанном в настоящем пункте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2) в 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пункте 4: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 </w:t>
      </w:r>
      <w:r>
        <w:rPr>
          <w:rFonts w:ascii="Times New Roman" w:hAnsi="Times New Roman" w:cs="Times New Roman"/>
          <w:bCs/>
          <w:sz w:val="28"/>
          <w:szCs w:val="28"/>
        </w:rPr>
        <w:t xml:space="preserve">в абзаце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первом слово «департамент» заменить словом «министерство»: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б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) подпункт 2 изложить в следующей редакции: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«2) копии документа, удостоверяющего личность гражданина Российской Федерации;»;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 дополнить подпунктом 6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6) документа, подтверждающего факт проживания спортсмена на территории Новосибирской области на дату достижения спортивного результата по итогам участия в спортивном соревновании, указанном в пункте 1 настоящих Условий (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копия паспорта гражданина Российской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отметкой о регистрации по месту жительства, свидетельство о регистрации по месту пребывания или жительства, которое представляется заявителем (его представителем) по собственной инициативе, либо судебное решение об установлении факта проживания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заявителя по определенному адресу.».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дополнить пунктом 6.1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6.1. 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случае, если в текущем финансовом году после принятия решения о предоставлении стипендии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спортсменом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выявлен факт наличия в году, предшествующем году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спортивного достижения, превосходящего по уровню спортивное достижение, указанное в решении о предоставлении стипендии, спортсмен в целях внесения изменений в решение о 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части спортивного достижения и размера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имеет право повторно обратиться в министерство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документами, указанными в пункте 4 настоящих Условий, в срок не позднее 1 ноября текущего финансового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Комиссия в срок, не превышающий 5 рабочих дней с момента поступления документов, указанных в абзаце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первом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настоящего пункта,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рассматривает их и принимает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одно из следующих решений: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части спортивного достижения и размера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отказе во внесении изменений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части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спортивного достижения и размера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принятия комиссией решения, указанного в абзаце третьем настоящего пункта, комиссия в течение 3 рабочих дней обеспечивает внесение соответствующих изменений в решение о 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Выплата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размере, установленном после внесения изменений в решение о предоставлении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стипендии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осуществляется с 1 числа месяца следующего за месяцем принятия решения, указанного в абзаце третьем настоящего пункта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4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пункты 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7-10 изложить в следующей редакции: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«7. Основаниями для отказа в предоставлении стипендии спортсмену являются: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1) представление недостоверных документов;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2) отсутствие у лица права на предоставление ему стипендии в соответствии с пунктом 1 настоящих Условий;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3) пропуск срока на подачу документов, установленного пунктом 4 настоящих Условий;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4) непредставление или представление не в полном объеме документов, указанных в пункте 4 настоящих Условий, за исключением документов, представляемых по собственной инициативе;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5) признание 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соответствующей антидопинговой организацией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 спортсмена нарушившим антидопинговые правила.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В случае устранения причин, послуживших основаниями для отказа в предоставлении стипендии, указанных в пунктах 1, 4 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настоящего 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пункта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, спортсмен может повторно обратиться с заявлением о предоставлении ему стипендии в срок не позднее 20 января года, следующего за годом достижения спортивного результата.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8. В случае принятия решения об отказе в предоставлении стипендии спортсмен уведомляется о принятом решении способом, указанным спортсменом в заявлении на предоставление стипендии.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9. Стипендии выплачиваются с даты принятия решения о предоставлении стипендии за период с 1 января по 31 декабря текущего финансового года.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10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. Выплата стипендии производится путем перечисления денежных средств на лицевой счет в кредитной организации, указанный спортсменом в заявлении на предоставление стипендии.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11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. Выплата стипендии прекращается в случае: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1) смерти лица, получающего стипендию;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2) вступления в законную силу решения суда об объявлении гражданина умершим или признании его безвестно отсутствующим;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3) признания 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соответствующей антидопинговой организацией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 спортсмена нарушившим антидопинговые правила.</w:t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Решение о прекращении выплаты стипендии принимается в течение пяти рабочих дней со дня установления министерством обстоятельства, являющегося основанием для прекращения выплаты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стипендии. Выплата стипендии прекращается </w:t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eastAsia="ru-RU"/>
        </w:rPr>
        <w:t xml:space="preserve">с первого числа месяца, следующего за месяцем, в котором установлен соответствующий факт.».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</w:t>
      </w:r>
      <w:r>
        <w:rPr>
          <w:rFonts w:ascii="Times New Roman" w:hAnsi="Times New Roman" w:cs="Times New Roman"/>
          <w:sz w:val="28"/>
          <w:szCs w:val="28"/>
        </w:rPr>
        <w:t xml:space="preserve">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</w:t>
      </w:r>
      <w:r>
        <w:rPr>
          <w:rFonts w:ascii="Times New Roman" w:hAnsi="Times New Roman" w:cs="Times New Roman"/>
          <w:sz w:val="20"/>
          <w:szCs w:val="20"/>
        </w:rPr>
        <w:t xml:space="preserve">.А. Ахапов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222 73 81</w:t>
      </w:r>
      <w:r>
        <w:rPr>
          <w:rFonts w:ascii="Times New Roman" w:hAnsi="Times New Roman" w:cs="Times New Roman"/>
          <w:sz w:val="20"/>
          <w:szCs w:val="20"/>
        </w:rPr>
        <w:br w:type="page" w:clear="all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Первый заместитель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Губернатора 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Ю.Ф. Петухов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Заместитель Губернатора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tabs>
          <w:tab w:val="left" w:pos="79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В.А. Дудникова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tabs>
          <w:tab w:val="left" w:pos="8563" w:leader="none"/>
        </w:tabs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Заместитель Председателя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Правительства Новосибирской области –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В.Ю. Голубенко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Новосибирской области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инистр юстиции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Т.Н.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Деркач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«__»________2024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инистр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физической культуры и спорта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С.А. Ахапов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Новосибирской области                       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                            «__»________2024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Д.Д. Бирюков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тел. 238 77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консультант отдела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организационной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, правовой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работы и контроля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50600000002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7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7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7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7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7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7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7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7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7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7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7"/>
    <w:link w:val="687"/>
    <w:uiPriority w:val="99"/>
  </w:style>
  <w:style w:type="paragraph" w:styleId="689">
    <w:name w:val="Footer"/>
    <w:basedOn w:val="836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7"/>
    <w:link w:val="689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41">
    <w:name w:val="Balloon Text"/>
    <w:basedOn w:val="836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7"/>
    <w:link w:val="841"/>
    <w:uiPriority w:val="99"/>
    <w:semiHidden/>
    <w:rPr>
      <w:rFonts w:ascii="Tahoma" w:hAnsi="Tahoma" w:cs="Tahoma"/>
      <w:sz w:val="16"/>
      <w:szCs w:val="16"/>
    </w:rPr>
  </w:style>
  <w:style w:type="character" w:styleId="843">
    <w:name w:val="Hyperlink"/>
    <w:basedOn w:val="837"/>
    <w:uiPriority w:val="99"/>
    <w:unhideWhenUsed/>
    <w:rPr>
      <w:color w:val="0000ff" w:themeColor="hyperlink"/>
      <w:u w:val="single"/>
    </w:rPr>
  </w:style>
  <w:style w:type="paragraph" w:styleId="844">
    <w:name w:val="List Paragraph"/>
    <w:basedOn w:val="836"/>
    <w:uiPriority w:val="34"/>
    <w:qFormat/>
    <w:pPr>
      <w:contextualSpacing/>
      <w:ind w:left="720"/>
    </w:pPr>
  </w:style>
  <w:style w:type="character" w:styleId="845">
    <w:name w:val="annotation reference"/>
    <w:basedOn w:val="837"/>
    <w:uiPriority w:val="99"/>
    <w:semiHidden/>
    <w:unhideWhenUsed/>
    <w:rPr>
      <w:sz w:val="16"/>
      <w:szCs w:val="16"/>
    </w:rPr>
  </w:style>
  <w:style w:type="paragraph" w:styleId="846">
    <w:name w:val="annotation text"/>
    <w:basedOn w:val="836"/>
    <w:link w:val="84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7" w:customStyle="1">
    <w:name w:val="Текст примечания Знак"/>
    <w:basedOn w:val="837"/>
    <w:link w:val="846"/>
    <w:uiPriority w:val="99"/>
    <w:semiHidden/>
    <w:rPr>
      <w:sz w:val="20"/>
      <w:szCs w:val="20"/>
    </w:rPr>
  </w:style>
  <w:style w:type="paragraph" w:styleId="848">
    <w:name w:val="annotation subject"/>
    <w:basedOn w:val="846"/>
    <w:next w:val="846"/>
    <w:link w:val="849"/>
    <w:uiPriority w:val="99"/>
    <w:semiHidden/>
    <w:unhideWhenUsed/>
    <w:rPr>
      <w:b/>
      <w:bCs/>
    </w:rPr>
  </w:style>
  <w:style w:type="character" w:styleId="849" w:customStyle="1">
    <w:name w:val="Тема примечания Знак"/>
    <w:basedOn w:val="847"/>
    <w:link w:val="848"/>
    <w:uiPriority w:val="99"/>
    <w:semiHidden/>
    <w:rPr>
      <w:b/>
      <w:bCs/>
      <w:sz w:val="20"/>
      <w:szCs w:val="20"/>
    </w:rPr>
  </w:style>
  <w:style w:type="paragraph" w:styleId="850">
    <w:name w:val="Plain Text"/>
    <w:basedOn w:val="836"/>
    <w:link w:val="851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851" w:customStyle="1">
    <w:name w:val="Текст Знак"/>
    <w:basedOn w:val="837"/>
    <w:link w:val="850"/>
    <w:rPr>
      <w:rFonts w:ascii="Courier New" w:hAnsi="Courier New" w:eastAsia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9B24-82B0-461C-9E81-97F0481B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revision>12</cp:revision>
  <dcterms:created xsi:type="dcterms:W3CDTF">2023-12-20T10:41:00Z</dcterms:created>
  <dcterms:modified xsi:type="dcterms:W3CDTF">2024-10-03T02:36:46Z</dcterms:modified>
</cp:coreProperties>
</file>