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348"/>
        <w:jc w:val="center"/>
        <w:shd w:val="clear" w:color="auto" w:fill="ffffff"/>
      </w:pPr>
      <w:r/>
      <w:bookmarkStart w:id="0" w:name="_GoBack"/>
      <w:r/>
      <w:bookmarkEnd w:id="0"/>
      <w:r>
        <w:rPr>
          <w:szCs w:val="28"/>
        </w:rPr>
        <w:t xml:space="preserve">УТВЕРЖДЕНА</w:t>
      </w:r>
      <w:r/>
    </w:p>
    <w:p>
      <w:pPr>
        <w:ind w:left="10348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приказом министерства здравоохранения 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ind w:left="10348"/>
        <w:jc w:val="center"/>
        <w:rPr>
          <w:sz w:val="24"/>
          <w:szCs w:val="24"/>
        </w:rPr>
      </w:pPr>
      <w:r>
        <w:rPr>
          <w:szCs w:val="24"/>
        </w:rPr>
        <w:t xml:space="preserve">от __________ № 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</w:pPr>
      <w:r/>
      <w:r/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СХЕМА 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маршрутизации пациентов старше 18 лет при оказании медицинской помощи в неотложной и экстренной форме по профилю «колопроктология» на территории Новосибирской области (кроме города Новосибирска) 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>
        <w:rPr>
          <w:b/>
          <w:szCs w:val="28"/>
        </w:rPr>
      </w:r>
      <w:r>
        <w:rPr>
          <w:b/>
          <w:szCs w:val="28"/>
        </w:rPr>
      </w:r>
    </w:p>
    <w:tbl>
      <w:tblPr>
        <w:tblStyle w:val="948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768"/>
        <w:gridCol w:w="2251"/>
        <w:gridCol w:w="2134"/>
        <w:gridCol w:w="2451"/>
      </w:tblGrid>
      <w:tr>
        <w:tblPrEx/>
        <w:trPr/>
        <w:tc>
          <w:tcPr>
            <w:tcW w:w="524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Первичная медико-санитарная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помощь</w:t>
            </w:r>
            <w:r>
              <w:rPr>
                <w:sz w:val="20"/>
                <w:vertAlign w:val="superscript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92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Скорая медицинская помощь</w:t>
            </w:r>
            <w:r>
              <w:rPr>
                <w:sz w:val="20"/>
                <w:vertAlign w:val="superscript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462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Специализированная медицинская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помощь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Высокотехнологичная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медицинская помощь</w:t>
            </w:r>
            <w:r>
              <w:rPr>
                <w:sz w:val="20"/>
                <w:vertAlign w:val="superscript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524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92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консультативная 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49" w:type="dxa"/>
            <w:textDirection w:val="lrTb"/>
            <w:noWrap w:val="false"/>
          </w:tcPr>
          <w:p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стационарная </w:t>
            </w:r>
            <w:r>
              <w:rPr>
                <w:sz w:val="20"/>
                <w:vertAlign w:val="superscript"/>
              </w:rPr>
              <w:t xml:space="preserve">4</w:t>
            </w: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85" w:type="dxa"/>
            <w:vMerge w:val="continue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 xml:space="preserve">Государственное бюджетное учреждение здравоохранения Новосибирской области «Баганская центральная районная больница»;</w:t>
            </w:r>
            <w:bookmarkStart w:id="1" w:name="undefined"/>
            <w:r/>
            <w:bookmarkEnd w:id="1"/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«Барабинская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«Болотнинская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«Венгеровская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«Доволенская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«Здвинская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«Линевская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«Каргатская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«Колыванская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«Коченевская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«Кочковская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«Куйбышевская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</w:t>
            </w:r>
            <w:r>
              <w:rPr>
                <w:color w:val="000000"/>
                <w:sz w:val="20"/>
              </w:rPr>
              <w:t xml:space="preserve">№ </w:t>
            </w:r>
            <w:r>
              <w:rPr>
                <w:color w:val="000000"/>
                <w:sz w:val="20"/>
              </w:rPr>
              <w:t xml:space="preserve">1»;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«Северная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«Татарская центральная районная больница имени 70</w:t>
            </w:r>
            <w:r>
              <w:rPr>
                <w:color w:val="000000"/>
                <w:sz w:val="20"/>
              </w:rPr>
              <w:noBreakHyphen/>
              <w:t xml:space="preserve">летия Новосибирской области»;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«Убинская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«Усть-Таркская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«Чановская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«Чистоозерная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«Чулымская центральная районная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«Обская центральная городская больница»;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947"/>
              <w:numPr>
                <w:ilvl w:val="0"/>
                <w:numId w:val="1"/>
              </w:numPr>
              <w:ind w:left="22" w:firstLine="338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бюджетное учреждение здравоохранения Новосибирской области «Бердская центральная городская больница»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92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Выездные бригады (врачебные, фельдшерские) отделений скорой медицинской помощи  центральных районных больниц (центральных городских больниц)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Специалисты службы экстренной консультативной помощи и медицинской эвакуации государственного бюджетного учреждения здравоохранения Новосибирской области «Государственная Новосибирская областная клиническая больница»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Специалисты службы экстренной   консультативной помощи и медицинской эвакуации государственного бюджетного учреждения здравоохранения Новосибирской области «Государственная Новосибирская областная клиническая больница»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49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Хирургические отделения центральных районных больниц (центральных городских больниц)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</w:p>
          <w:p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</w:p>
          <w:p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Колопроктологическое отделение государственного бюджетного учреждения здравоохранения Новосибирской области «Государственная Новосибирская областная клиническая больница»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  <w:rPr>
          <w:b/>
          <w:vertAlign w:val="superscript"/>
        </w:rPr>
      </w:pPr>
      <w:r>
        <w:rPr>
          <w:b/>
          <w:vertAlign w:val="superscript"/>
        </w:rPr>
      </w:r>
      <w:r>
        <w:rPr>
          <w:b/>
          <w:vertAlign w:val="superscript"/>
        </w:rPr>
      </w:r>
      <w:r>
        <w:rPr>
          <w:b/>
          <w:vertAlign w:val="superscript"/>
        </w:rPr>
      </w:r>
    </w:p>
    <w:p>
      <w:pPr>
        <w:ind w:firstLine="709"/>
        <w:jc w:val="both"/>
        <w:rPr>
          <w:sz w:val="20"/>
        </w:rPr>
      </w:pPr>
      <w:r>
        <w:rPr>
          <w:b/>
          <w:sz w:val="20"/>
          <w:vertAlign w:val="superscript"/>
        </w:rPr>
        <w:t xml:space="preserve">1</w:t>
      </w:r>
      <w:r>
        <w:rPr>
          <w:sz w:val="20"/>
        </w:rPr>
        <w:t xml:space="preserve"> </w:t>
      </w:r>
      <w:r>
        <w:rPr>
          <w:sz w:val="20"/>
        </w:rPr>
        <w:t xml:space="preserve">–</w:t>
      </w:r>
      <w:r>
        <w:t xml:space="preserve"> </w:t>
      </w:r>
      <w:r>
        <w:rPr>
          <w:sz w:val="20"/>
        </w:rPr>
        <w:t xml:space="preserve">э</w:t>
      </w:r>
      <w:r>
        <w:rPr>
          <w:sz w:val="20"/>
        </w:rPr>
        <w:t xml:space="preserve">кстренная первичная медико-санитарная помощь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 xml:space="preserve">на уровне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 xml:space="preserve">центральных районных больниц (далее – ЦРБ) и центральных городских больниц (далее – ЦГБ) оказ</w:t>
      </w:r>
      <w:r>
        <w:rPr>
          <w:sz w:val="20"/>
        </w:rPr>
        <w:t xml:space="preserve">ывается по месту фактического проживания пациента следующими структурными подразделениями: фельдшерско-акушерскими пунктами (фельдшер, медицинская сестра), врачебными амбулаториями, участковыми больницами (врач, фельдшер, медицинская сестра), поликлиническ</w:t>
      </w:r>
      <w:r>
        <w:rPr>
          <w:sz w:val="20"/>
        </w:rPr>
        <w:t xml:space="preserve">им отделени</w:t>
      </w:r>
      <w:r>
        <w:rPr>
          <w:sz w:val="20"/>
          <w:highlight w:val="white"/>
        </w:rPr>
        <w:t xml:space="preserve">е</w:t>
      </w:r>
      <w:r>
        <w:rPr>
          <w:sz w:val="20"/>
          <w:highlight w:val="white"/>
        </w:rPr>
        <w:t xml:space="preserve">м</w:t>
      </w:r>
      <w:r>
        <w:rPr>
          <w:sz w:val="20"/>
        </w:rPr>
        <w:t xml:space="preserve"> (врач-терапевт участковый, врач (фельдшер) службы неотложной медицинской помощи), дневн</w:t>
      </w:r>
      <w:r>
        <w:rPr>
          <w:sz w:val="20"/>
        </w:rPr>
        <w:t xml:space="preserve">ым стационаром.   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b/>
          <w:sz w:val="20"/>
          <w:vertAlign w:val="superscript"/>
        </w:rPr>
      </w:pPr>
      <w:r>
        <w:rPr>
          <w:sz w:val="20"/>
        </w:rPr>
        <w:t xml:space="preserve"> При наличии медицинских показаний после устранения угрожающих жизни состояний больные переводятся в хирургическое отделение ЦРБ (ЦГБ) для оказания специализированной медицинской помощи</w:t>
      </w:r>
      <w:r>
        <w:rPr>
          <w:sz w:val="20"/>
        </w:rPr>
        <w:t xml:space="preserve">; </w:t>
      </w:r>
      <w:r>
        <w:rPr>
          <w:b/>
          <w:sz w:val="20"/>
          <w:vertAlign w:val="superscript"/>
        </w:rPr>
      </w:r>
      <w:r>
        <w:rPr>
          <w:b/>
          <w:sz w:val="20"/>
          <w:vertAlign w:val="superscript"/>
        </w:rPr>
      </w:r>
    </w:p>
    <w:p>
      <w:pPr>
        <w:ind w:firstLine="709"/>
        <w:jc w:val="both"/>
        <w:rPr>
          <w:sz w:val="20"/>
        </w:rPr>
      </w:pPr>
      <w:r>
        <w:rPr>
          <w:b/>
          <w:sz w:val="20"/>
          <w:vertAlign w:val="superscript"/>
        </w:rPr>
        <w:t xml:space="preserve">2</w:t>
      </w:r>
      <w:r>
        <w:rPr>
          <w:b/>
          <w:sz w:val="20"/>
          <w:vertAlign w:val="superscript"/>
        </w:rPr>
        <w:t xml:space="preserve"> – </w:t>
      </w:r>
      <w:r>
        <w:rPr>
          <w:sz w:val="20"/>
        </w:rPr>
        <w:t xml:space="preserve">э</w:t>
      </w:r>
      <w:r>
        <w:rPr>
          <w:sz w:val="20"/>
        </w:rPr>
        <w:t xml:space="preserve">кстренная медицинская помощь пациентам по профилю «колопроктология» и транспортировка при наличии показаний в стационар осуществляется силами выездных бригад скорой медицинской помощи. 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sz w:val="20"/>
        </w:rPr>
        <w:t xml:space="preserve">Транспортировка пациентов из стационаров районов области (ЦРБ и ЦГБ) в колопроктологическое отделени</w:t>
      </w:r>
      <w:r>
        <w:rPr>
          <w:sz w:val="20"/>
        </w:rPr>
        <w:t xml:space="preserve">е государственного бюджетного учреждения здравоохранения Новосибирской области «Государственная Новосибирская областная клиническая больница» осуществляется по согласованию с заведующим службой экстренной  консультативной помощи и медицинской эвакуации, с </w:t>
      </w:r>
      <w:r>
        <w:rPr>
          <w:sz w:val="20"/>
        </w:rPr>
        <w:t xml:space="preserve">заведующим колопроктологическим отделением государственного бюджетного учреждения здравоохранения Новосибирской области «Государственная Новосибирская областная клиническая больница» (приказ министерства здравоохранения Новосибирской области от 24.12.2021 </w:t>
      </w:r>
      <w:r>
        <w:rPr>
          <w:sz w:val="20"/>
        </w:rPr>
        <w:t xml:space="preserve">№ </w:t>
      </w:r>
      <w:r>
        <w:rPr>
          <w:sz w:val="20"/>
        </w:rPr>
        <w:t xml:space="preserve">3569 «Об организации оказания неотложной и экстренной консультативной помощи, медицинской эвакуации и госпитализации эвакуированных пациентов на территории Новосибирской области» (далее – приказ </w:t>
      </w:r>
      <w:r>
        <w:rPr>
          <w:sz w:val="20"/>
        </w:rPr>
        <w:t xml:space="preserve">№ </w:t>
      </w:r>
      <w:r>
        <w:rPr>
          <w:sz w:val="20"/>
        </w:rPr>
        <w:t xml:space="preserve">3569)). 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b/>
          <w:sz w:val="20"/>
          <w:vertAlign w:val="superscript"/>
        </w:rPr>
        <w:t xml:space="preserve">3</w:t>
      </w:r>
      <w:r>
        <w:rPr>
          <w:b/>
          <w:sz w:val="20"/>
          <w:vertAlign w:val="superscript"/>
        </w:rPr>
        <w:t xml:space="preserve"> – </w:t>
      </w:r>
      <w:r>
        <w:rPr>
          <w:sz w:val="20"/>
        </w:rPr>
        <w:t xml:space="preserve">э</w:t>
      </w:r>
      <w:r>
        <w:rPr>
          <w:sz w:val="20"/>
        </w:rPr>
        <w:t xml:space="preserve">кстренная очная или заочная консультация врача пациента профиля «колопроктология» проводится круглосуточно для пациентов,</w:t>
      </w:r>
      <w:r>
        <w:rPr>
          <w:sz w:val="20"/>
        </w:rPr>
        <w:t xml:space="preserve"> госпитализированных в ЦРБ (ЦГБ), через отделение экстренной консультативной помощи и медицинской эвакуации государственного бюджетного учреждения здравоохранения Новосибирской области «Государственная Новосибирская областная клиническая больница» (приказ </w:t>
      </w:r>
      <w:r>
        <w:rPr>
          <w:sz w:val="20"/>
        </w:rPr>
        <w:t xml:space="preserve">№ </w:t>
      </w:r>
      <w:r>
        <w:rPr>
          <w:sz w:val="20"/>
        </w:rPr>
        <w:t xml:space="preserve">3569</w:t>
      </w:r>
      <w:r>
        <w:rPr>
          <w:sz w:val="20"/>
        </w:rPr>
        <w:t xml:space="preserve">); 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sz w:val="20"/>
          <w:vertAlign w:val="superscript"/>
        </w:rPr>
        <w:t xml:space="preserve">4</w:t>
      </w:r>
      <w:r>
        <w:rPr>
          <w:sz w:val="20"/>
        </w:rPr>
        <w:t xml:space="preserve"> </w:t>
      </w:r>
      <w:r>
        <w:rPr>
          <w:sz w:val="20"/>
        </w:rPr>
        <w:t xml:space="preserve">–</w:t>
      </w:r>
      <w: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соответствии с </w:t>
      </w:r>
      <w:r>
        <w:rPr>
          <w:sz w:val="20"/>
        </w:rPr>
        <w:t xml:space="preserve">приказом </w:t>
      </w:r>
      <w:r>
        <w:rPr>
          <w:sz w:val="20"/>
        </w:rPr>
        <w:t xml:space="preserve">министерства здравоохранения Новосибирской области № 3569, от 01.10.2022 </w:t>
      </w:r>
      <w:r>
        <w:rPr>
          <w:sz w:val="20"/>
        </w:rPr>
        <w:t xml:space="preserve">№ </w:t>
      </w:r>
      <w:r>
        <w:rPr>
          <w:sz w:val="20"/>
        </w:rPr>
        <w:t xml:space="preserve">3137 «О временной маршрутизации паци</w:t>
      </w:r>
      <w:r>
        <w:rPr>
          <w:sz w:val="20"/>
        </w:rPr>
        <w:t xml:space="preserve">ентов старше 18 лет с экстренной хирургической, травматологической и терапевтической патологией на территории Кировского, Ленинского и части Советского районов города Новосибирска, а также ряда населенных пунктов Новосибирского района Новосибирской области</w:t>
      </w:r>
      <w:r>
        <w:rPr>
          <w:sz w:val="20"/>
        </w:rPr>
        <w:t xml:space="preserve">»;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b/>
          <w:sz w:val="20"/>
        </w:rPr>
      </w:pPr>
      <w:r>
        <w:rPr>
          <w:sz w:val="20"/>
          <w:vertAlign w:val="superscript"/>
        </w:rPr>
        <w:t xml:space="preserve">5</w:t>
      </w:r>
      <w:r>
        <w:rPr>
          <w:sz w:val="20"/>
        </w:rPr>
        <w:t xml:space="preserve"> </w:t>
      </w:r>
      <w:r>
        <w:rPr>
          <w:sz w:val="20"/>
        </w:rPr>
        <w:t xml:space="preserve">– н</w:t>
      </w:r>
      <w:r>
        <w:rPr>
          <w:sz w:val="20"/>
        </w:rPr>
        <w:t xml:space="preserve">аправление на высокотехнологичную медицинскую помощь осуществляется в соответствии с приказами </w:t>
      </w:r>
      <w:r>
        <w:rPr>
          <w:sz w:val="20"/>
        </w:rPr>
        <w:t xml:space="preserve">министерства здравоохранения Новосибирской области </w:t>
      </w:r>
      <w:r>
        <w:rPr>
          <w:sz w:val="20"/>
        </w:rPr>
        <w:t xml:space="preserve">от</w:t>
      </w:r>
      <w:r>
        <w:rPr>
          <w:sz w:val="20"/>
        </w:rPr>
        <w:t xml:space="preserve">  </w:t>
      </w:r>
      <w:r>
        <w:rPr>
          <w:sz w:val="20"/>
        </w:rPr>
        <w:t xml:space="preserve">07.03.2014 </w:t>
      </w:r>
      <w:r>
        <w:rPr>
          <w:sz w:val="20"/>
        </w:rPr>
        <w:t xml:space="preserve">№ </w:t>
      </w:r>
      <w:r>
        <w:rPr>
          <w:sz w:val="20"/>
        </w:rPr>
        <w:t xml:space="preserve">761 «Об организации оказания высокотехнологичной медицинской помощи жителям Новосибирской области за счет средств обязательного медицинского страхования</w:t>
      </w:r>
      <w:r>
        <w:rPr>
          <w:sz w:val="20"/>
        </w:rPr>
        <w:t xml:space="preserve">», от 12.05.2015 № 1383 «О комиссии министерства здравоохранения Новосибирской области по отбору пациентов для оказания высокотехнологичной помощи, не включенной в базовую программу обязательного медицинского страхования»</w:t>
      </w:r>
      <w:r>
        <w:rPr>
          <w:sz w:val="20"/>
        </w:rPr>
        <w:t xml:space="preserve"> </w:t>
      </w:r>
      <w:r>
        <w:rPr>
          <w:sz w:val="20"/>
        </w:rPr>
        <w:t xml:space="preserve">после получения пациентом заключения главного внештатного специалиста колопроктолога Новосибирской области с указанием профиля, кода и вида высокотехнологичной медицинской помощи и учреждения, в котором планируется оказание этой помощи.</w:t>
      </w:r>
      <w:r>
        <w:rPr>
          <w:sz w:val="20"/>
        </w:rPr>
        <w:t xml:space="preserve"> </w:t>
      </w:r>
      <w:r>
        <w:rPr>
          <w:b/>
          <w:sz w:val="20"/>
        </w:rPr>
      </w:r>
      <w:r>
        <w:rPr>
          <w:b/>
          <w:sz w:val="20"/>
        </w:rPr>
      </w:r>
    </w:p>
    <w:p>
      <w:r/>
      <w:r/>
    </w:p>
    <w:p>
      <w:r/>
      <w:r/>
    </w:p>
    <w:p>
      <w:pPr>
        <w:jc w:val="center"/>
      </w:pPr>
      <w:r>
        <w:t xml:space="preserve">________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38" w:h="11906" w:orient="landscape"/>
      <w:pgMar w:top="1418" w:right="1134" w:bottom="567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</w:pPr>
    <w:r/>
    <w:r/>
  </w:p>
  <w:p>
    <w:pPr>
      <w:pStyle w:val="95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83132094"/>
      <w:docPartObj>
        <w:docPartGallery w:val="Page Numbers (Top of Page)"/>
        <w:docPartUnique w:val="true"/>
      </w:docPartObj>
      <w:rPr/>
    </w:sdtPr>
    <w:sdtContent>
      <w:p>
        <w:pPr>
          <w:pStyle w:val="949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5</w:t>
        </w:r>
        <w:r>
          <w:rPr>
            <w:sz w:val="20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  <w:p>
    <w:pPr>
      <w:pStyle w:val="9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779"/>
    <w:link w:val="770"/>
    <w:uiPriority w:val="9"/>
    <w:rPr>
      <w:rFonts w:ascii="Arial" w:hAnsi="Arial" w:eastAsia="Arial" w:cs="Arial"/>
      <w:sz w:val="40"/>
      <w:szCs w:val="40"/>
    </w:rPr>
  </w:style>
  <w:style w:type="character" w:styleId="736">
    <w:name w:val="Heading 2 Char"/>
    <w:basedOn w:val="779"/>
    <w:link w:val="771"/>
    <w:uiPriority w:val="9"/>
    <w:rPr>
      <w:rFonts w:ascii="Arial" w:hAnsi="Arial" w:eastAsia="Arial" w:cs="Arial"/>
      <w:sz w:val="34"/>
    </w:rPr>
  </w:style>
  <w:style w:type="character" w:styleId="737">
    <w:name w:val="Heading 3 Char"/>
    <w:basedOn w:val="779"/>
    <w:link w:val="772"/>
    <w:uiPriority w:val="9"/>
    <w:rPr>
      <w:rFonts w:ascii="Arial" w:hAnsi="Arial" w:eastAsia="Arial" w:cs="Arial"/>
      <w:sz w:val="30"/>
      <w:szCs w:val="30"/>
    </w:rPr>
  </w:style>
  <w:style w:type="character" w:styleId="738">
    <w:name w:val="Heading 4 Char"/>
    <w:basedOn w:val="77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739">
    <w:name w:val="Heading 5 Char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740">
    <w:name w:val="Heading 6 Char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41">
    <w:name w:val="Heading 7 Char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8 Char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743">
    <w:name w:val="Heading 9 Char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744">
    <w:name w:val="Title Char"/>
    <w:basedOn w:val="779"/>
    <w:link w:val="792"/>
    <w:uiPriority w:val="10"/>
    <w:rPr>
      <w:sz w:val="48"/>
      <w:szCs w:val="48"/>
    </w:rPr>
  </w:style>
  <w:style w:type="character" w:styleId="745">
    <w:name w:val="Subtitle Char"/>
    <w:basedOn w:val="779"/>
    <w:link w:val="794"/>
    <w:uiPriority w:val="11"/>
    <w:rPr>
      <w:sz w:val="24"/>
      <w:szCs w:val="24"/>
    </w:rPr>
  </w:style>
  <w:style w:type="character" w:styleId="746">
    <w:name w:val="Quote Char"/>
    <w:link w:val="796"/>
    <w:uiPriority w:val="29"/>
    <w:rPr>
      <w:i/>
    </w:rPr>
  </w:style>
  <w:style w:type="character" w:styleId="747">
    <w:name w:val="Intense Quote Char"/>
    <w:link w:val="798"/>
    <w:uiPriority w:val="30"/>
    <w:rPr>
      <w:i/>
    </w:rPr>
  </w:style>
  <w:style w:type="table" w:styleId="748">
    <w:name w:val="Plain Table 1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7">
    <w:name w:val="Footnote Text Char"/>
    <w:link w:val="930"/>
    <w:uiPriority w:val="99"/>
    <w:rPr>
      <w:sz w:val="18"/>
    </w:rPr>
  </w:style>
  <w:style w:type="character" w:styleId="768">
    <w:name w:val="Endnote Text Char"/>
    <w:link w:val="933"/>
    <w:uiPriority w:val="99"/>
    <w:rPr>
      <w:sz w:val="20"/>
    </w:rPr>
  </w:style>
  <w:style w:type="paragraph" w:styleId="76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0">
    <w:name w:val="Heading 1"/>
    <w:basedOn w:val="769"/>
    <w:next w:val="769"/>
    <w:link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1">
    <w:name w:val="Heading 2"/>
    <w:basedOn w:val="769"/>
    <w:next w:val="769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2">
    <w:name w:val="Heading 3"/>
    <w:basedOn w:val="769"/>
    <w:next w:val="769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3">
    <w:name w:val="Heading 4"/>
    <w:basedOn w:val="769"/>
    <w:next w:val="769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769"/>
    <w:next w:val="769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769"/>
    <w:next w:val="76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769"/>
    <w:next w:val="769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769"/>
    <w:next w:val="769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769"/>
    <w:next w:val="769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Заголовок 1 Знак"/>
    <w:basedOn w:val="779"/>
    <w:link w:val="770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"/>
    <w:basedOn w:val="779"/>
    <w:link w:val="771"/>
    <w:uiPriority w:val="9"/>
    <w:rPr>
      <w:rFonts w:ascii="Arial" w:hAnsi="Arial" w:eastAsia="Arial" w:cs="Arial"/>
      <w:sz w:val="34"/>
    </w:rPr>
  </w:style>
  <w:style w:type="character" w:styleId="784" w:customStyle="1">
    <w:name w:val="Заголовок 3 Знак"/>
    <w:basedOn w:val="779"/>
    <w:link w:val="772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"/>
    <w:basedOn w:val="77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No Spacing"/>
    <w:uiPriority w:val="1"/>
    <w:qFormat/>
    <w:pPr>
      <w:spacing w:after="0" w:line="240" w:lineRule="auto"/>
    </w:pPr>
  </w:style>
  <w:style w:type="paragraph" w:styleId="792">
    <w:name w:val="Title"/>
    <w:basedOn w:val="769"/>
    <w:next w:val="769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 w:customStyle="1">
    <w:name w:val="Заголовок Знак"/>
    <w:basedOn w:val="779"/>
    <w:link w:val="792"/>
    <w:uiPriority w:val="10"/>
    <w:rPr>
      <w:sz w:val="48"/>
      <w:szCs w:val="48"/>
    </w:rPr>
  </w:style>
  <w:style w:type="paragraph" w:styleId="794">
    <w:name w:val="Subtitle"/>
    <w:basedOn w:val="769"/>
    <w:next w:val="769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 w:customStyle="1">
    <w:name w:val="Подзаголовок Знак"/>
    <w:basedOn w:val="779"/>
    <w:link w:val="794"/>
    <w:uiPriority w:val="11"/>
    <w:rPr>
      <w:sz w:val="24"/>
      <w:szCs w:val="24"/>
    </w:rPr>
  </w:style>
  <w:style w:type="paragraph" w:styleId="796">
    <w:name w:val="Quote"/>
    <w:basedOn w:val="769"/>
    <w:next w:val="769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Цитата 2 Знак"/>
    <w:link w:val="796"/>
    <w:uiPriority w:val="29"/>
    <w:rPr>
      <w:i/>
    </w:rPr>
  </w:style>
  <w:style w:type="paragraph" w:styleId="798">
    <w:name w:val="Intense Quote"/>
    <w:basedOn w:val="769"/>
    <w:next w:val="769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Выделенная цитата Знак"/>
    <w:link w:val="798"/>
    <w:uiPriority w:val="30"/>
    <w:rPr>
      <w:i/>
    </w:rPr>
  </w:style>
  <w:style w:type="character" w:styleId="800" w:customStyle="1">
    <w:name w:val="Header Char"/>
    <w:basedOn w:val="779"/>
    <w:uiPriority w:val="99"/>
  </w:style>
  <w:style w:type="character" w:styleId="801" w:customStyle="1">
    <w:name w:val="Footer Char"/>
    <w:basedOn w:val="779"/>
    <w:uiPriority w:val="99"/>
  </w:style>
  <w:style w:type="paragraph" w:styleId="802">
    <w:name w:val="Caption"/>
    <w:basedOn w:val="769"/>
    <w:next w:val="76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3" w:customStyle="1">
    <w:name w:val="Caption Char"/>
    <w:uiPriority w:val="99"/>
  </w:style>
  <w:style w:type="table" w:styleId="804" w:customStyle="1">
    <w:name w:val="Table Grid Light"/>
    <w:basedOn w:val="7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5" w:customStyle="1">
    <w:name w:val="Таблица простая 11"/>
    <w:basedOn w:val="7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 w:customStyle="1">
    <w:name w:val="Таблица простая 21"/>
    <w:basedOn w:val="7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 w:customStyle="1">
    <w:name w:val="Таблица простая 31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 w:customStyle="1">
    <w:name w:val="Таблица простая 41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 простая 51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1 светлая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Таблица-сетка 2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Таблица-сетка 3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41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3" w:customStyle="1">
    <w:name w:val="Grid Table 4 - Accent 2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Grid Table 4 - Accent 3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5" w:customStyle="1">
    <w:name w:val="Grid Table 4 - Accent 4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Grid Table 4 - Accent 5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7" w:customStyle="1">
    <w:name w:val="Grid Table 4 - Accent 6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8" w:customStyle="1">
    <w:name w:val="Таблица-сетка 5 темная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5" w:customStyle="1">
    <w:name w:val="Таблица-сетка 6 цветная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7" w:customStyle="1">
    <w:name w:val="Grid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8" w:customStyle="1">
    <w:name w:val="Grid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9" w:customStyle="1">
    <w:name w:val="Grid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0" w:customStyle="1">
    <w:name w:val="Grid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1" w:customStyle="1">
    <w:name w:val="Grid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2" w:customStyle="1">
    <w:name w:val="Таблица-сетка 7 цветная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Список-таблица 1 светлая1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Список-таблица 2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3" w:customStyle="1">
    <w:name w:val="Список-таблица 3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Список-таблица 4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Список-таблица 5 темная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Список-таблица 6 цветная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6" w:customStyle="1">
    <w:name w:val="List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7" w:customStyle="1">
    <w:name w:val="List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8" w:customStyle="1">
    <w:name w:val="List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9" w:customStyle="1">
    <w:name w:val="List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0" w:customStyle="1">
    <w:name w:val="List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1" w:customStyle="1">
    <w:name w:val="Список-таблица 7 цветная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ned - Accent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0" w:customStyle="1">
    <w:name w:val="Lined - Accent 2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1" w:customStyle="1">
    <w:name w:val="Lined - Accent 3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2" w:customStyle="1">
    <w:name w:val="Lined - Accent 4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3" w:customStyle="1">
    <w:name w:val="Lined - Accent 5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4" w:customStyle="1">
    <w:name w:val="Lined - Accent 6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5" w:customStyle="1">
    <w:name w:val="Bordered &amp; Lined - Accent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7" w:customStyle="1">
    <w:name w:val="Bordered &amp; Lined - Accent 2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8" w:customStyle="1">
    <w:name w:val="Bordered &amp; Lined - Accent 3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9" w:customStyle="1">
    <w:name w:val="Bordered &amp; Lined - Accent 4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0" w:customStyle="1">
    <w:name w:val="Bordered &amp; Lined - Accent 5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1" w:customStyle="1">
    <w:name w:val="Bordered &amp; Lined - Accent 6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2" w:customStyle="1">
    <w:name w:val="Bordered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4" w:customStyle="1">
    <w:name w:val="Bordered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5" w:customStyle="1">
    <w:name w:val="Bordered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6" w:customStyle="1">
    <w:name w:val="Bordered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7" w:customStyle="1">
    <w:name w:val="Bordered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8" w:customStyle="1">
    <w:name w:val="Bordered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563c1" w:themeColor="hyperlink"/>
      <w:u w:val="single"/>
    </w:rPr>
  </w:style>
  <w:style w:type="paragraph" w:styleId="930">
    <w:name w:val="footnote text"/>
    <w:basedOn w:val="769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basedOn w:val="779"/>
    <w:uiPriority w:val="99"/>
    <w:unhideWhenUsed/>
    <w:rPr>
      <w:vertAlign w:val="superscript"/>
    </w:rPr>
  </w:style>
  <w:style w:type="paragraph" w:styleId="933">
    <w:name w:val="endnote text"/>
    <w:basedOn w:val="769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79"/>
    <w:uiPriority w:val="99"/>
    <w:semiHidden/>
    <w:unhideWhenUsed/>
    <w:rPr>
      <w:vertAlign w:val="superscript"/>
    </w:rPr>
  </w:style>
  <w:style w:type="paragraph" w:styleId="936">
    <w:name w:val="toc 1"/>
    <w:basedOn w:val="769"/>
    <w:next w:val="769"/>
    <w:uiPriority w:val="39"/>
    <w:unhideWhenUsed/>
    <w:pPr>
      <w:spacing w:after="57"/>
    </w:pPr>
  </w:style>
  <w:style w:type="paragraph" w:styleId="937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38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39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40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41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42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43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44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69"/>
    <w:next w:val="769"/>
    <w:uiPriority w:val="99"/>
    <w:unhideWhenUsed/>
  </w:style>
  <w:style w:type="paragraph" w:styleId="947">
    <w:name w:val="List Paragraph"/>
    <w:basedOn w:val="769"/>
    <w:uiPriority w:val="34"/>
    <w:qFormat/>
    <w:pPr>
      <w:contextualSpacing/>
      <w:ind w:left="720"/>
    </w:pPr>
  </w:style>
  <w:style w:type="table" w:styleId="948">
    <w:name w:val="Table Grid"/>
    <w:basedOn w:val="78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/>
  </w:style>
  <w:style w:type="paragraph" w:styleId="949">
    <w:name w:val="Header"/>
    <w:basedOn w:val="769"/>
    <w:link w:val="9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0" w:customStyle="1">
    <w:name w:val="Верхний колонтитул Знак"/>
    <w:basedOn w:val="779"/>
    <w:link w:val="94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1">
    <w:name w:val="Footer"/>
    <w:basedOn w:val="769"/>
    <w:link w:val="9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2" w:customStyle="1">
    <w:name w:val="Нижний колонтитул Знак"/>
    <w:basedOn w:val="779"/>
    <w:link w:val="95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3">
    <w:name w:val="Balloon Text"/>
    <w:basedOn w:val="769"/>
    <w:link w:val="9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4" w:customStyle="1">
    <w:name w:val="Текст выноски Знак"/>
    <w:basedOn w:val="779"/>
    <w:link w:val="9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5">
    <w:name w:val="annotation reference"/>
    <w:basedOn w:val="779"/>
    <w:uiPriority w:val="99"/>
    <w:semiHidden/>
    <w:unhideWhenUsed/>
    <w:rPr>
      <w:sz w:val="16"/>
      <w:szCs w:val="16"/>
    </w:rPr>
  </w:style>
  <w:style w:type="paragraph" w:styleId="956">
    <w:name w:val="annotation text"/>
    <w:basedOn w:val="769"/>
    <w:link w:val="957"/>
    <w:uiPriority w:val="99"/>
    <w:semiHidden/>
    <w:unhideWhenUsed/>
    <w:rPr>
      <w:sz w:val="20"/>
    </w:rPr>
  </w:style>
  <w:style w:type="character" w:styleId="957" w:customStyle="1">
    <w:name w:val="Текст примечания Знак"/>
    <w:basedOn w:val="779"/>
    <w:link w:val="95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58">
    <w:name w:val="annotation subject"/>
    <w:basedOn w:val="956"/>
    <w:next w:val="956"/>
    <w:link w:val="959"/>
    <w:uiPriority w:val="99"/>
    <w:semiHidden/>
    <w:unhideWhenUsed/>
    <w:rPr>
      <w:b/>
      <w:bCs/>
    </w:rPr>
  </w:style>
  <w:style w:type="character" w:styleId="959" w:customStyle="1">
    <w:name w:val="Тема примечания Знак"/>
    <w:basedOn w:val="957"/>
    <w:link w:val="95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B741-FE77-47C1-978F-1EECCEBF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Ольга Валерьевна</dc:creator>
  <cp:revision>4</cp:revision>
  <dcterms:created xsi:type="dcterms:W3CDTF">2024-09-26T07:35:00Z</dcterms:created>
  <dcterms:modified xsi:type="dcterms:W3CDTF">2024-09-30T03:05:42Z</dcterms:modified>
</cp:coreProperties>
</file>