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245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УТВЕРЖДЕНА</w:t>
      </w:r>
      <w:r>
        <w:rPr>
          <w:szCs w:val="28"/>
        </w:rPr>
      </w:r>
    </w:p>
    <w:p>
      <w:pPr>
        <w:ind w:left="4820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приказом министерства здравоохранения</w:t>
      </w:r>
      <w:r>
        <w:rPr>
          <w:szCs w:val="28"/>
        </w:rPr>
      </w:r>
    </w:p>
    <w:p>
      <w:pPr>
        <w:ind w:left="5670" w:hanging="425"/>
        <w:jc w:val="center"/>
        <w:shd w:val="clear" w:color="auto" w:fill="ffffff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Cs w:val="24"/>
        </w:rPr>
        <w:t xml:space="preserve">от __________ № _________</w:t>
      </w:r>
      <w:r>
        <w:rPr>
          <w:sz w:val="24"/>
          <w:szCs w:val="24"/>
        </w:rPr>
      </w:r>
    </w:p>
    <w:p>
      <w:pPr>
        <w:ind w:left="5670" w:hanging="28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</w:pPr>
      <w:r/>
      <w:r/>
    </w:p>
    <w:p>
      <w:pPr>
        <w:pStyle w:val="742"/>
        <w:ind w:left="0"/>
        <w:jc w:val="center"/>
        <w:tabs>
          <w:tab w:val="left" w:pos="851" w:leader="none"/>
        </w:tabs>
        <w:rPr>
          <w:b/>
          <w:szCs w:val="28"/>
        </w:rPr>
      </w:pPr>
      <w:r>
        <w:rPr>
          <w:b/>
          <w:szCs w:val="28"/>
        </w:rPr>
        <w:t xml:space="preserve">СХЕМА</w:t>
      </w:r>
      <w:r>
        <w:rPr>
          <w:b/>
          <w:szCs w:val="28"/>
        </w:rPr>
      </w:r>
    </w:p>
    <w:p>
      <w:pPr>
        <w:pStyle w:val="742"/>
        <w:ind w:left="0"/>
        <w:jc w:val="center"/>
        <w:tabs>
          <w:tab w:val="left" w:pos="851" w:leader="none"/>
        </w:tabs>
        <w:rPr>
          <w:b/>
          <w:szCs w:val="28"/>
        </w:rPr>
      </w:pPr>
      <w:r>
        <w:rPr>
          <w:b/>
          <w:szCs w:val="28"/>
        </w:rPr>
        <w:t xml:space="preserve"> маршрутизации пациентов старше 18 лет при оказании медицинской помощи в плановой форме по профилю «колопроктология» </w:t>
      </w:r>
      <w:r>
        <w:rPr>
          <w:b/>
          <w:szCs w:val="28"/>
        </w:rPr>
      </w:r>
    </w:p>
    <w:p>
      <w:pPr>
        <w:pStyle w:val="742"/>
        <w:ind w:left="0"/>
        <w:jc w:val="center"/>
        <w:tabs>
          <w:tab w:val="left" w:pos="851" w:leader="none"/>
        </w:tabs>
        <w:rPr>
          <w:b/>
          <w:szCs w:val="28"/>
        </w:rPr>
      </w:pPr>
      <w:r>
        <w:rPr>
          <w:b/>
          <w:szCs w:val="28"/>
        </w:rPr>
        <w:t xml:space="preserve">на территории города Новосибирска  </w:t>
      </w:r>
      <w:r>
        <w:rPr>
          <w:b/>
          <w:szCs w:val="28"/>
        </w:rPr>
      </w:r>
    </w:p>
    <w:p>
      <w:pPr>
        <w:pStyle w:val="742"/>
        <w:ind w:left="0"/>
        <w:jc w:val="center"/>
        <w:tabs>
          <w:tab w:val="left" w:pos="851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01"/>
        <w:gridCol w:w="3559"/>
        <w:gridCol w:w="2851"/>
      </w:tblGrid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Первичная медико-санитарная помощь</w:t>
            </w:r>
            <w:r>
              <w:rPr>
                <w:sz w:val="24"/>
                <w:szCs w:val="24"/>
                <w:vertAlign w:val="superscript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Специализированная медицинская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</w:t>
            </w:r>
            <w:r>
              <w:rPr>
                <w:sz w:val="24"/>
                <w:szCs w:val="24"/>
                <w:vertAlign w:val="superscript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Высокотехнологичная          медицинская помощь</w:t>
            </w:r>
            <w:r>
              <w:rPr>
                <w:sz w:val="24"/>
                <w:szCs w:val="24"/>
                <w:vertAlign w:val="superscript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tabs>
                <w:tab w:val="left" w:pos="3150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Дзержинский район 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2»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(колопроктологическое отделение) </w:t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2»</w:t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2»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Железнодорожный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Заельцовский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25»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25»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Калининский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 «Городская клиническая больница № 25»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25»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Кировский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Ленинский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Октябрьский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</w:t>
            </w:r>
            <w:r>
              <w:t xml:space="preserve"> </w:t>
            </w:r>
            <w:r>
              <w:rPr>
                <w:sz w:val="24"/>
                <w:szCs w:val="24"/>
              </w:rPr>
              <w:t xml:space="preserve">11»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Первомайский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</w:t>
            </w:r>
            <w:r>
              <w:rPr>
                <w:sz w:val="24"/>
                <w:szCs w:val="24"/>
              </w:rPr>
            </w:r>
          </w:p>
          <w:p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Советский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«Центральная клиническая больница»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Центральный район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 № 11»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(отделение колопроктологии)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94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Государственное бюджетное учреждение здравоохранения Новосибирской области «Городская клиническая больница № 11» </w:t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(поликлиническое отделение)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367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287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</w:pPr>
      <w:r>
        <w:t xml:space="preserve">При наличии у пациента доброкачественного новообразования толстой кишки – эндоско</w:t>
      </w:r>
      <w:r>
        <w:t xml:space="preserve">пически не удалимого (для резекции толстой кишки) (D12) возможно направление на плановую госпитализацию в федеральное государственное бюджетное учреждение здравоохранения «Сибирский окружной медицинский центр Федерального медико-биологического агентства». </w:t>
      </w:r>
      <w:r/>
    </w:p>
    <w:p>
      <w:pPr>
        <w:ind w:firstLine="709"/>
        <w:jc w:val="both"/>
        <w:rPr>
          <w:sz w:val="20"/>
          <w:szCs w:val="28"/>
        </w:rPr>
      </w:pPr>
      <w:r>
        <w:rPr>
          <w:sz w:val="20"/>
          <w:szCs w:val="28"/>
        </w:rPr>
      </w:r>
      <w:r>
        <w:rPr>
          <w:sz w:val="20"/>
          <w:szCs w:val="28"/>
        </w:rPr>
      </w:r>
    </w:p>
    <w:p>
      <w:pPr>
        <w:ind w:firstLine="709"/>
        <w:jc w:val="both"/>
        <w:rPr>
          <w:sz w:val="20"/>
          <w:szCs w:val="28"/>
        </w:rPr>
      </w:pPr>
      <w:r>
        <w:rPr>
          <w:sz w:val="20"/>
          <w:szCs w:val="28"/>
          <w:vertAlign w:val="superscript"/>
        </w:rPr>
        <w:t xml:space="preserve">1</w:t>
      </w:r>
      <w:r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– п</w:t>
      </w:r>
      <w:r>
        <w:rPr>
          <w:sz w:val="20"/>
          <w:szCs w:val="28"/>
        </w:rPr>
        <w:t xml:space="preserve">ервичная медико-санитарная помощь  на уровне больниц города Новосибирска оказывается по месту фактического проживания пациента поликлиническими отделениями (врач-терапевт участковый</w:t>
      </w:r>
      <w:r>
        <w:rPr>
          <w:sz w:val="20"/>
          <w:szCs w:val="28"/>
        </w:rPr>
        <w:t xml:space="preserve">);   </w:t>
      </w:r>
      <w:r>
        <w:rPr>
          <w:sz w:val="20"/>
          <w:szCs w:val="28"/>
        </w:rPr>
      </w:r>
    </w:p>
    <w:p>
      <w:pPr>
        <w:ind w:firstLine="709"/>
        <w:jc w:val="both"/>
        <w:rPr>
          <w:sz w:val="20"/>
          <w:szCs w:val="28"/>
        </w:rPr>
      </w:pPr>
      <w:r>
        <w:rPr>
          <w:sz w:val="20"/>
          <w:szCs w:val="28"/>
          <w:vertAlign w:val="superscript"/>
        </w:rPr>
        <w:t xml:space="preserve">2</w:t>
      </w:r>
      <w:r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–</w:t>
      </w:r>
      <w:r>
        <w:t xml:space="preserve"> </w:t>
      </w:r>
      <w:r>
        <w:rPr>
          <w:sz w:val="20"/>
          <w:szCs w:val="28"/>
        </w:rPr>
        <w:t xml:space="preserve">п</w:t>
      </w:r>
      <w:r>
        <w:rPr>
          <w:sz w:val="20"/>
          <w:szCs w:val="28"/>
        </w:rPr>
        <w:t xml:space="preserve">ри наличии медицинских показаний больные переводятся в отделение колопроктологии больницы для оказания специализированной медицинской помощи</w:t>
      </w:r>
      <w:r>
        <w:rPr>
          <w:sz w:val="20"/>
          <w:szCs w:val="28"/>
        </w:rPr>
        <w:t xml:space="preserve">;</w:t>
      </w:r>
      <w:r>
        <w:rPr>
          <w:sz w:val="20"/>
          <w:szCs w:val="28"/>
        </w:rPr>
      </w:r>
    </w:p>
    <w:p>
      <w:pPr>
        <w:ind w:firstLine="708"/>
        <w:jc w:val="both"/>
        <w:rPr>
          <w:sz w:val="20"/>
          <w:szCs w:val="28"/>
        </w:rPr>
      </w:pPr>
      <w:r>
        <w:rPr>
          <w:sz w:val="20"/>
          <w:szCs w:val="28"/>
          <w:vertAlign w:val="superscript"/>
        </w:rPr>
        <w:t xml:space="preserve">3</w:t>
      </w:r>
      <w:r>
        <w:rPr>
          <w:sz w:val="20"/>
          <w:szCs w:val="28"/>
          <w:lang w:val="en-US"/>
        </w:rPr>
        <w:t xml:space="preserve"> </w:t>
      </w:r>
      <w:r>
        <w:rPr>
          <w:sz w:val="20"/>
          <w:szCs w:val="28"/>
        </w:rPr>
        <w:t xml:space="preserve">– н</w:t>
      </w:r>
      <w:r>
        <w:rPr>
          <w:sz w:val="20"/>
          <w:szCs w:val="28"/>
        </w:rPr>
        <w:t xml:space="preserve">аправление на высокотехнологичную медицинскую помощь осуществляется в соответствии с приказами М</w:t>
      </w:r>
      <w:r>
        <w:rPr>
          <w:sz w:val="20"/>
          <w:szCs w:val="28"/>
        </w:rPr>
        <w:t xml:space="preserve">инистерства здравоохранения Новосибирской области </w:t>
      </w:r>
      <w:r>
        <w:rPr>
          <w:sz w:val="20"/>
          <w:szCs w:val="28"/>
        </w:rPr>
        <w:t xml:space="preserve"> </w:t>
      </w:r>
      <w:bookmarkStart w:id="0" w:name="_GoBack"/>
      <w:r/>
      <w:bookmarkEnd w:id="0"/>
      <w:r>
        <w:rPr>
          <w:sz w:val="20"/>
          <w:szCs w:val="28"/>
        </w:rPr>
        <w:t xml:space="preserve">от 07.03.2014 </w:t>
      </w:r>
      <w:r>
        <w:rPr>
          <w:sz w:val="20"/>
          <w:szCs w:val="28"/>
        </w:rPr>
        <w:t xml:space="preserve">№ </w:t>
      </w:r>
      <w:r>
        <w:rPr>
          <w:sz w:val="20"/>
          <w:szCs w:val="28"/>
        </w:rPr>
        <w:t xml:space="preserve">761 «Об организации оказания высокотехнологичной медицинской помощи жителям Новосибирской области за счет средств обязательного медицинского страхования»</w:t>
      </w:r>
      <w:r>
        <w:rPr>
          <w:sz w:val="20"/>
          <w:szCs w:val="28"/>
        </w:rPr>
        <w:t xml:space="preserve">, </w:t>
      </w:r>
      <w:r>
        <w:rPr>
          <w:rStyle w:val="925"/>
          <w:rFonts w:eastAsia="Arial"/>
          <w:color w:val="000000"/>
          <w:sz w:val="20"/>
        </w:rPr>
        <w:t xml:space="preserve">от 12.05.2015 № 1383 «О комиссии министерства здравоохранения Новосибирской области по отбору пациентов для оказания высокотехнологичной помощи, не включенной в базовую программу обязательного медицинского страхования»</w:t>
      </w:r>
      <w:r>
        <w:rPr>
          <w:rStyle w:val="925"/>
          <w:rFonts w:eastAsia="Arial"/>
          <w:color w:val="000000"/>
          <w:sz w:val="20"/>
        </w:rPr>
        <w:t xml:space="preserve"> </w:t>
      </w:r>
      <w:r>
        <w:rPr>
          <w:sz w:val="20"/>
          <w:szCs w:val="28"/>
        </w:rPr>
        <w:t xml:space="preserve">после получения пациентом заключения главного внештатного специалиста колопроктолога </w:t>
      </w:r>
      <w:r>
        <w:rPr>
          <w:sz w:val="20"/>
          <w:szCs w:val="28"/>
        </w:rPr>
        <w:t xml:space="preserve">Новосибирской области с указанием профиля, кода и вида высокотехнологичной медицинской помощи и учреждения, в котором планируется оказание этой помощи.</w:t>
      </w:r>
      <w:r>
        <w:rPr>
          <w:sz w:val="20"/>
          <w:szCs w:val="28"/>
        </w:rPr>
        <w:t xml:space="preserve"> </w:t>
      </w:r>
      <w:r>
        <w:rPr>
          <w:sz w:val="20"/>
          <w:szCs w:val="28"/>
        </w:rPr>
      </w:r>
    </w:p>
    <w:sectPr>
      <w:headerReference w:type="default" r:id="rId9"/>
      <w:footerReference w:type="default" r:id="rId10"/>
      <w:footnotePr/>
      <w:endnotePr/>
      <w:type w:val="continuous"/>
      <w:pgSz w:w="11906" w:h="16838" w:orient="portrait"/>
      <w:pgMar w:top="1134" w:right="567" w:bottom="1134" w:left="1418" w:header="711" w:footer="28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3</w:t>
    </w:r>
    <w:r>
      <w:rPr>
        <w:sz w:val="20"/>
      </w:rPr>
      <w:fldChar w:fldCharType="end"/>
    </w:r>
    <w:r>
      <w:rPr>
        <w:sz w:val="20"/>
      </w:rPr>
    </w:r>
  </w:p>
  <w:p>
    <w:pPr>
      <w:pStyle w:val="752"/>
      <w:jc w:val="center"/>
      <w:rPr>
        <w:sz w:val="20"/>
      </w:rPr>
    </w:pPr>
    <w:r>
      <w:rPr>
        <w:sz w:val="20"/>
      </w:rPr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3" w:hanging="106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735"/>
      </w:pPr>
    </w:lvl>
    <w:lvl w:ilvl="1">
      <w:start w:val="1"/>
      <w:numFmt w:val="decimal"/>
      <w:isLgl w:val="false"/>
      <w:suff w:val="tab"/>
      <w:lvlText w:val="%1.%2."/>
      <w:lvlJc w:val="left"/>
      <w:pPr>
        <w:ind w:left="1275" w:hanging="73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15" w:hanging="7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5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15"/>
  </w:num>
  <w:num w:numId="7">
    <w:abstractNumId w:val="4"/>
  </w:num>
  <w:num w:numId="8">
    <w:abstractNumId w:val="3"/>
  </w:num>
  <w:num w:numId="9">
    <w:abstractNumId w:val="8"/>
  </w:num>
  <w:num w:numId="10">
    <w:abstractNumId w:val="16"/>
  </w:num>
  <w:num w:numId="11">
    <w:abstractNumId w:val="14"/>
  </w:num>
  <w:num w:numId="12">
    <w:abstractNumId w:val="7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3"/>
  </w:num>
  <w:num w:numId="17">
    <w:abstractNumId w:val="18"/>
  </w:num>
  <w:num w:numId="18">
    <w:abstractNumId w:val="10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30"/>
    <w:link w:val="744"/>
    <w:uiPriority w:val="10"/>
    <w:rPr>
      <w:sz w:val="48"/>
      <w:szCs w:val="48"/>
    </w:rPr>
  </w:style>
  <w:style w:type="character" w:styleId="37">
    <w:name w:val="Subtitle Char"/>
    <w:basedOn w:val="730"/>
    <w:link w:val="746"/>
    <w:uiPriority w:val="11"/>
    <w:rPr>
      <w:sz w:val="24"/>
      <w:szCs w:val="24"/>
    </w:rPr>
  </w:style>
  <w:style w:type="character" w:styleId="39">
    <w:name w:val="Quote Char"/>
    <w:link w:val="748"/>
    <w:uiPriority w:val="29"/>
    <w:rPr>
      <w:i/>
    </w:rPr>
  </w:style>
  <w:style w:type="character" w:styleId="41">
    <w:name w:val="Intense Quote Char"/>
    <w:link w:val="750"/>
    <w:uiPriority w:val="30"/>
    <w:rPr>
      <w:i/>
    </w:rPr>
  </w:style>
  <w:style w:type="table" w:styleId="50">
    <w:name w:val="Plain Table 1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85"/>
    <w:uiPriority w:val="99"/>
    <w:rPr>
      <w:sz w:val="18"/>
    </w:rPr>
  </w:style>
  <w:style w:type="character" w:styleId="179">
    <w:name w:val="Endnote Text Char"/>
    <w:link w:val="888"/>
    <w:uiPriority w:val="99"/>
    <w:rPr>
      <w:sz w:val="20"/>
    </w:rPr>
  </w:style>
  <w:style w:type="paragraph" w:styleId="720" w:default="1">
    <w:name w:val="Normal"/>
    <w:qFormat/>
    <w:rPr>
      <w:sz w:val="28"/>
    </w:rPr>
  </w:style>
  <w:style w:type="paragraph" w:styleId="721">
    <w:name w:val="Heading 1"/>
    <w:basedOn w:val="720"/>
    <w:next w:val="720"/>
    <w:link w:val="733"/>
    <w:qFormat/>
    <w:pPr>
      <w:jc w:val="center"/>
      <w:keepNext/>
      <w:outlineLvl w:val="0"/>
    </w:pPr>
    <w:rPr>
      <w:b/>
      <w:bCs/>
    </w:rPr>
  </w:style>
  <w:style w:type="paragraph" w:styleId="722">
    <w:name w:val="Heading 2"/>
    <w:basedOn w:val="720"/>
    <w:next w:val="720"/>
    <w:link w:val="73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</w:pPr>
  </w:style>
  <w:style w:type="paragraph" w:styleId="743">
    <w:name w:val="No Spacing"/>
    <w:uiPriority w:val="1"/>
    <w:qFormat/>
    <w:rPr>
      <w:lang w:eastAsia="zh-CN"/>
    </w:rPr>
  </w:style>
  <w:style w:type="paragraph" w:styleId="744">
    <w:name w:val="Title"/>
    <w:basedOn w:val="720"/>
    <w:next w:val="720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Заголовок Знак"/>
    <w:link w:val="744"/>
    <w:uiPriority w:val="10"/>
    <w:rPr>
      <w:sz w:val="48"/>
      <w:szCs w:val="48"/>
    </w:rPr>
  </w:style>
  <w:style w:type="paragraph" w:styleId="746">
    <w:name w:val="Subtitle"/>
    <w:basedOn w:val="720"/>
    <w:link w:val="747"/>
    <w:qFormat/>
    <w:pPr>
      <w:ind w:right="27"/>
      <w:jc w:val="center"/>
    </w:pPr>
    <w:rPr>
      <w:b/>
      <w:bCs/>
      <w:szCs w:val="28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916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20"/>
    <w:link w:val="912"/>
    <w:uiPriority w:val="99"/>
    <w:pPr>
      <w:tabs>
        <w:tab w:val="center" w:pos="4677" w:leader="none"/>
        <w:tab w:val="right" w:pos="9355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7" w:customStyle="1">
    <w:name w:val="Caption Char"/>
    <w:uiPriority w:val="99"/>
  </w:style>
  <w:style w:type="table" w:styleId="758">
    <w:name w:val="Table Grid"/>
    <w:basedOn w:val="731"/>
    <w:tblPr/>
  </w:style>
  <w:style w:type="table" w:styleId="75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  <w:rPr>
      <w:sz w:val="20"/>
    </w:rPr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  <w:rPr>
      <w:lang w:eastAsia="zh-CN"/>
    </w:rPr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ody Text"/>
    <w:basedOn w:val="720"/>
    <w:pPr>
      <w:spacing w:after="120"/>
    </w:pPr>
  </w:style>
  <w:style w:type="paragraph" w:styleId="903" w:customStyle="1">
    <w:name w:val="Normal1"/>
    <w:pPr>
      <w:spacing w:before="100" w:after="100"/>
    </w:pPr>
    <w:rPr>
      <w:sz w:val="24"/>
    </w:rPr>
  </w:style>
  <w:style w:type="paragraph" w:styleId="904" w:customStyle="1">
    <w:name w:val="Название1"/>
    <w:basedOn w:val="720"/>
    <w:qFormat/>
    <w:pPr>
      <w:jc w:val="center"/>
    </w:pPr>
    <w:rPr>
      <w:szCs w:val="24"/>
    </w:rPr>
  </w:style>
  <w:style w:type="paragraph" w:styleId="905">
    <w:name w:val="Normal (Web)"/>
    <w:basedOn w:val="72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06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07" w:customStyle="1">
    <w:name w:val="Знак1"/>
    <w:basedOn w:val="72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08" w:customStyle="1">
    <w:name w:val="FR2"/>
    <w:pPr>
      <w:ind w:left="360"/>
      <w:spacing w:before="760"/>
      <w:widowControl w:val="off"/>
    </w:pPr>
    <w:rPr>
      <w:rFonts w:ascii="Arial" w:hAnsi="Arial"/>
    </w:rPr>
  </w:style>
  <w:style w:type="paragraph" w:styleId="909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10" w:customStyle="1">
    <w:name w:val="1"/>
    <w:basedOn w:val="720"/>
    <w:pPr>
      <w:jc w:val="center"/>
    </w:pPr>
    <w:rPr>
      <w:color w:val="000000"/>
      <w:szCs w:val="28"/>
    </w:rPr>
  </w:style>
  <w:style w:type="paragraph" w:styleId="911" w:customStyle="1">
    <w:name w:val="ConsPlusTitle"/>
    <w:pPr>
      <w:widowControl w:val="off"/>
    </w:pPr>
    <w:rPr>
      <w:b/>
      <w:bCs/>
      <w:sz w:val="24"/>
      <w:szCs w:val="24"/>
    </w:rPr>
  </w:style>
  <w:style w:type="character" w:styleId="912" w:customStyle="1">
    <w:name w:val="Нижний колонтитул Знак"/>
    <w:link w:val="754"/>
    <w:uiPriority w:val="99"/>
    <w:rPr>
      <w:sz w:val="28"/>
    </w:rPr>
  </w:style>
  <w:style w:type="paragraph" w:styleId="913" w:customStyle="1">
    <w:name w:val="Default"/>
    <w:rPr>
      <w:color w:val="000000"/>
      <w:sz w:val="24"/>
      <w:szCs w:val="24"/>
    </w:rPr>
  </w:style>
  <w:style w:type="paragraph" w:styleId="914">
    <w:name w:val="Balloon Text"/>
    <w:basedOn w:val="720"/>
    <w:link w:val="915"/>
    <w:rPr>
      <w:rFonts w:ascii="Tahoma" w:hAnsi="Tahoma" w:cs="Tahoma"/>
      <w:sz w:val="16"/>
      <w:szCs w:val="16"/>
    </w:rPr>
  </w:style>
  <w:style w:type="character" w:styleId="915" w:customStyle="1">
    <w:name w:val="Текст выноски Знак"/>
    <w:link w:val="914"/>
    <w:rPr>
      <w:rFonts w:ascii="Tahoma" w:hAnsi="Tahoma" w:cs="Tahoma"/>
      <w:sz w:val="16"/>
      <w:szCs w:val="16"/>
    </w:rPr>
  </w:style>
  <w:style w:type="character" w:styleId="916" w:customStyle="1">
    <w:name w:val="Верхний колонтитул Знак"/>
    <w:link w:val="752"/>
    <w:uiPriority w:val="99"/>
    <w:rPr>
      <w:sz w:val="28"/>
    </w:rPr>
  </w:style>
  <w:style w:type="character" w:styleId="917" w:customStyle="1">
    <w:name w:val="docdata;docy;v5;2045;bqiaagaaeyqcaaagiaiaaao0bqaabcifaaaaaaaaaaaaaaaaaaaaaaaaaaaaaaaaaaaaaaaaaaaaaaaaaaaaaaaaaaaaaaaaaaaaaaaaaaaaaaaaaaaaaaaaaaaaaaaaaaaaaaaaaaaaaaaaaaaaaaaaaaaaaaaaaaaaaaaaaaaaaaaaaaaaaaaaaaaaaaaaaaaaaaaaaaaaaaaaaaaaaaaaaaaaaaaaaaaaaaaa"/>
  </w:style>
  <w:style w:type="table" w:styleId="918" w:customStyle="1">
    <w:name w:val="Сетка таблицы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Arial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table" w:styleId="919" w:customStyle="1">
    <w:name w:val="Сетка таблицы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W w:w="0" w:type="auto"/>
    </w:tcPr>
  </w:style>
  <w:style w:type="character" w:styleId="920">
    <w:name w:val="annotation reference"/>
    <w:uiPriority w:val="99"/>
    <w:semiHidden/>
    <w:unhideWhenUsed/>
    <w:rPr>
      <w:sz w:val="16"/>
      <w:szCs w:val="16"/>
    </w:rPr>
  </w:style>
  <w:style w:type="paragraph" w:styleId="921">
    <w:name w:val="annotation text"/>
    <w:basedOn w:val="720"/>
    <w:link w:val="922"/>
    <w:uiPriority w:val="99"/>
    <w:semiHidden/>
    <w:unhideWhenUsed/>
    <w:rPr>
      <w:sz w:val="20"/>
    </w:rPr>
  </w:style>
  <w:style w:type="character" w:styleId="922" w:customStyle="1">
    <w:name w:val="Текст примечания Знак"/>
    <w:basedOn w:val="730"/>
    <w:link w:val="921"/>
    <w:uiPriority w:val="99"/>
    <w:semiHidden/>
  </w:style>
  <w:style w:type="paragraph" w:styleId="923">
    <w:name w:val="annotation subject"/>
    <w:basedOn w:val="921"/>
    <w:next w:val="921"/>
    <w:link w:val="924"/>
    <w:uiPriority w:val="99"/>
    <w:semiHidden/>
    <w:unhideWhenUsed/>
    <w:rPr>
      <w:b/>
      <w:bCs/>
    </w:rPr>
  </w:style>
  <w:style w:type="character" w:styleId="924" w:customStyle="1">
    <w:name w:val="Тема примечания Знак"/>
    <w:link w:val="923"/>
    <w:uiPriority w:val="99"/>
    <w:semiHidden/>
    <w:rPr>
      <w:b/>
      <w:bCs/>
    </w:rPr>
  </w:style>
  <w:style w:type="character" w:styleId="925" w:customStyle="1">
    <w:name w:val="docdata"/>
    <w:basedOn w:val="73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rychkova</dc:creator>
  <cp:revision>5</cp:revision>
  <dcterms:created xsi:type="dcterms:W3CDTF">2024-09-26T07:36:00Z</dcterms:created>
  <dcterms:modified xsi:type="dcterms:W3CDTF">2024-09-26T08:18:43Z</dcterms:modified>
  <cp:version>1048576</cp:version>
</cp:coreProperties>
</file>