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</w:pPr>
      <w:r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постановление Правительства Новосибирской области </w:t>
      </w:r>
      <w:r/>
    </w:p>
    <w:p>
      <w:pPr>
        <w:pStyle w:val="654"/>
        <w:jc w:val="center"/>
      </w:pPr>
      <w:r>
        <w:rPr>
          <w:color w:val="000000"/>
          <w:sz w:val="28"/>
          <w:szCs w:val="28"/>
        </w:rPr>
        <w:t xml:space="preserve">от 29.08.2023 № 410-п</w:t>
      </w:r>
      <w:r/>
    </w:p>
    <w:p>
      <w:pPr>
        <w:pStyle w:val="6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4"/>
        <w:ind w:left="-794" w:firstLine="0"/>
        <w:jc w:val="both"/>
        <w:tabs>
          <w:tab w:val="left" w:pos="709" w:leader="none"/>
        </w:tabs>
      </w:pPr>
      <w:r>
        <w:rPr>
          <w:color w:val="000000"/>
          <w:sz w:val="28"/>
          <w:szCs w:val="28"/>
        </w:rPr>
        <w:tab/>
        <w:t xml:space="preserve">Правительство Новосибирской области </w:t>
      </w:r>
      <w:r>
        <w:rPr>
          <w:b/>
          <w:color w:val="000000"/>
          <w:sz w:val="28"/>
          <w:szCs w:val="28"/>
        </w:rPr>
        <w:t xml:space="preserve">п о с т а н о в л я е т</w:t>
      </w:r>
      <w:r>
        <w:rPr>
          <w:color w:val="000000"/>
          <w:sz w:val="28"/>
          <w:szCs w:val="28"/>
        </w:rPr>
        <w:t xml:space="preserve">:</w:t>
      </w:r>
      <w:r/>
    </w:p>
    <w:p>
      <w:pPr>
        <w:pStyle w:val="654"/>
        <w:ind w:hanging="794"/>
        <w:jc w:val="both"/>
        <w:widowControl w:val="off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 xml:space="preserve">Внести в </w:t>
      </w:r>
      <w:hyperlink r:id="rId8" w:tooltip="consultantplus://offline/ref=8AC721394EEC8870425A74814FC0FA3678596D1710FAC2087958AA6468D177F6LAU9H" w:history="1">
        <w:r>
          <w:rPr>
            <w:rStyle w:val="697"/>
            <w:color w:val="000000"/>
            <w:sz w:val="28"/>
            <w:szCs w:val="28"/>
            <w:u w:val="none"/>
          </w:rPr>
          <w:t xml:space="preserve">постановление</w:t>
        </w:r>
      </w:hyperlink>
      <w:r>
        <w:rPr>
          <w:color w:val="000000"/>
          <w:sz w:val="28"/>
          <w:szCs w:val="28"/>
        </w:rPr>
        <w:t xml:space="preserve"> Правительства Новосибирской области от 29.08.2023 № 410-п «О совете по научно-технической политике Новосибирской области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при Правительстве Новосибирской области</w:t>
      </w:r>
      <w:r>
        <w:rPr>
          <w:color w:val="000000"/>
          <w:sz w:val="28"/>
          <w:szCs w:val="28"/>
        </w:rPr>
        <w:t xml:space="preserve">» следующие изменения: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4"/>
        <w:ind w:hanging="794"/>
        <w:jc w:val="both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color w:val="000000"/>
          <w:sz w:val="28"/>
          <w:szCs w:val="28"/>
        </w:rPr>
        <w:tab/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1. В Положении о совете </w:t>
      </w:r>
      <w:r>
        <w:rPr>
          <w:color w:val="000000"/>
          <w:sz w:val="28"/>
          <w:szCs w:val="28"/>
        </w:rPr>
        <w:t xml:space="preserve">по научно-технической политике Новосибирской области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при Правительстве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(далее – Совет):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hanging="794"/>
        <w:jc w:val="both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ab/>
        <w:tab/>
        <w:t xml:space="preserve">1) подпункт «в» пункта 7 изложить в следующей редакции: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hanging="794"/>
        <w:jc w:val="both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ab/>
        <w:tab/>
        <w:t xml:space="preserve">«результатов реализации государственных программ и мероприятий государственных программ, направленных на развитие научной, научно-технической и инновационной деятельности в Новосибирской области,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предложений органов исполнительной власти Новосибирской области по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финансировани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приоритетных отраслевых задач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;»;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54"/>
        <w:ind w:hanging="794"/>
        <w:jc w:val="both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2</w:t>
      </w:r>
      <w:r>
        <w:rPr>
          <w:rFonts w:eastAsia="Calibri"/>
          <w:color w:val="000000"/>
          <w:sz w:val="28"/>
          <w:szCs w:val="28"/>
          <w:lang w:eastAsia="en-US"/>
        </w:rPr>
        <w:t xml:space="preserve">) в подпункте 1 пункта 12 слово «дату» заменить словами «дату и форму»;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54"/>
        <w:ind w:hanging="794"/>
        <w:jc w:val="both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3</w:t>
      </w:r>
      <w:r>
        <w:rPr>
          <w:rFonts w:eastAsia="Calibri"/>
          <w:color w:val="000000"/>
          <w:sz w:val="28"/>
          <w:szCs w:val="28"/>
          <w:lang w:eastAsia="en-US"/>
        </w:rPr>
        <w:t xml:space="preserve">) подпункт 1 пункта 17 изложить в следующей редакции: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54"/>
        <w:ind w:hanging="794"/>
        <w:jc w:val="both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 xml:space="preserve">«1) не менее чем за три рабочих дня до дня заседания Совета направляет членам Совета по электронной почте уведомление, с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одержащее информацию о месте, времени и форме проведения заседания Совета, повестку дня и материалы к заседанию Совета, включающие в том числе представления и опросные листы для заочного голосования (в случае проведения заседания Совета в заочной форме);»;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654"/>
        <w:ind w:hanging="340"/>
        <w:jc w:val="both"/>
        <w:tabs>
          <w:tab w:val="left" w:pos="709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4</w:t>
      </w:r>
      <w:r>
        <w:rPr>
          <w:rFonts w:eastAsia="Calibri"/>
          <w:color w:val="000000"/>
          <w:sz w:val="28"/>
          <w:szCs w:val="28"/>
          <w:lang w:eastAsia="en-US"/>
        </w:rPr>
        <w:t xml:space="preserve">) пункт 19 изложить в следующей редакции:</w:t>
      </w:r>
      <w:r/>
    </w:p>
    <w:p>
      <w:pPr>
        <w:pStyle w:val="654"/>
        <w:ind w:hanging="340"/>
        <w:jc w:val="both"/>
        <w:tabs>
          <w:tab w:val="left" w:pos="709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 xml:space="preserve">«19. Заседания Совета проводятся в очной или заочной форме. Очное заседание Совета может проводиться в формате видео- и (или) интернет-конференции.»;</w:t>
      </w:r>
      <w:r/>
    </w:p>
    <w:p>
      <w:pPr>
        <w:pStyle w:val="654"/>
        <w:ind w:hanging="340"/>
        <w:jc w:val="both"/>
        <w:tabs>
          <w:tab w:val="left" w:pos="709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5</w:t>
      </w:r>
      <w:r>
        <w:rPr>
          <w:rFonts w:eastAsia="Calibri"/>
          <w:color w:val="000000"/>
          <w:sz w:val="28"/>
          <w:szCs w:val="28"/>
          <w:lang w:eastAsia="en-US"/>
        </w:rPr>
        <w:t xml:space="preserve">) пункт 20 изложить в следующей редакции:</w:t>
      </w:r>
      <w:r/>
    </w:p>
    <w:p>
      <w:pPr>
        <w:pStyle w:val="654"/>
        <w:ind w:hanging="340"/>
        <w:jc w:val="both"/>
        <w:tabs>
          <w:tab w:val="left" w:pos="709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 xml:space="preserve">«20. Члены Совета не вправе делегировать свои полномочия иным лицам.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54"/>
        <w:ind w:firstLine="851"/>
        <w:jc w:val="both"/>
        <w:tabs>
          <w:tab w:val="left" w:pos="709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проведении заседания Совета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очной форме в случае отсутствия члена Совета на заседании Совета он вправе изложить свое мнение по рассматриваемым вопросам в письменном виде и направить по электронной почте секретарю Совета не позднее трех рабочих дней со дня проведения заседания Совета.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54"/>
        <w:ind w:firstLine="709"/>
        <w:jc w:val="both"/>
        <w:tabs>
          <w:tab w:val="left" w:pos="709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проведении заседания Совета в заочной форме члены Совета заполняют опросные листы для заочного голосования и направляют их секретарю Совета по электронной почте в течение трех рабочих дней со дня получения вышеуказанных материалов.»;</w:t>
      </w:r>
      <w:r/>
    </w:p>
    <w:p>
      <w:pPr>
        <w:pStyle w:val="654"/>
        <w:ind w:hanging="340"/>
        <w:jc w:val="both"/>
        <w:tabs>
          <w:tab w:val="left" w:pos="709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6</w:t>
      </w:r>
      <w:r>
        <w:rPr>
          <w:rFonts w:eastAsia="Calibri"/>
          <w:color w:val="000000"/>
          <w:sz w:val="28"/>
          <w:szCs w:val="28"/>
          <w:lang w:eastAsia="en-US"/>
        </w:rPr>
        <w:t xml:space="preserve">) пункт 21 изложить в следующей редакции:</w:t>
      </w:r>
      <w:r/>
    </w:p>
    <w:p>
      <w:pPr>
        <w:pStyle w:val="654"/>
        <w:ind w:hanging="340"/>
        <w:jc w:val="both"/>
        <w:tabs>
          <w:tab w:val="left" w:pos="709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 xml:space="preserve">«21. Очное заседание Совета считается правомочным, если на нем присутствует более половины членов Совета.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54"/>
        <w:ind w:firstLine="709"/>
        <w:jc w:val="both"/>
        <w:tabs>
          <w:tab w:val="left" w:pos="709" w:leader="none"/>
        </w:tabs>
      </w:pPr>
      <w:r/>
      <w:bookmarkStart w:id="0" w:name="_GoBack"/>
      <w:r/>
      <w:bookmarkEnd w:id="0"/>
      <w:r>
        <w:rPr>
          <w:rFonts w:eastAsia="Calibri"/>
          <w:color w:val="000000"/>
          <w:sz w:val="28"/>
          <w:szCs w:val="28"/>
          <w:lang w:eastAsia="en-US"/>
        </w:rPr>
        <w:t xml:space="preserve">Заочное заседание Совета считается правомочным, если более половины членов Совета заполнили и направили в установленный срок секретарю Совета опросные листы для заочного голосования.»;</w:t>
      </w:r>
      <w:r/>
    </w:p>
    <w:p>
      <w:pPr>
        <w:pStyle w:val="654"/>
        <w:ind w:hanging="340"/>
        <w:jc w:val="both"/>
        <w:tabs>
          <w:tab w:val="left" w:pos="709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7</w:t>
      </w:r>
      <w:r>
        <w:rPr>
          <w:rFonts w:eastAsia="Calibri"/>
          <w:color w:val="000000"/>
          <w:sz w:val="28"/>
          <w:szCs w:val="28"/>
          <w:lang w:eastAsia="en-US"/>
        </w:rPr>
        <w:t xml:space="preserve">) пункт 22 изложить в следующей редакции:</w:t>
      </w:r>
      <w:r/>
    </w:p>
    <w:p>
      <w:pPr>
        <w:pStyle w:val="654"/>
        <w:ind w:hanging="340"/>
        <w:jc w:val="both"/>
        <w:tabs>
          <w:tab w:val="left" w:pos="709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 xml:space="preserve">«22. Решения Совета носят рекомендательный характер и принимаются большинством голосов членов Совета путем открытого голосования, в случ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ае проведения заседания Совета в очной форме или путем подсчета заполненных опросных листов для проведения заочного голосования, в случае проведении заседания Совета в заочной форме. В случае равенства голосов решающим является голос председателя Совета.».</w:t>
      </w:r>
      <w:r/>
    </w:p>
    <w:p>
      <w:pPr>
        <w:pStyle w:val="654"/>
        <w:ind w:hanging="340"/>
        <w:jc w:val="both"/>
        <w:tabs>
          <w:tab w:val="left" w:pos="709" w:leader="none"/>
        </w:tabs>
        <w:rPr>
          <w:rFonts w:eastAsia="Calibri"/>
          <w:color w:val="000000"/>
          <w:sz w:val="28"/>
          <w:szCs w:val="28"/>
        </w:rPr>
      </w:pPr>
      <w:r>
        <w:tab/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2. В составе Совета: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654"/>
        <w:ind w:firstLine="709"/>
        <w:jc w:val="both"/>
        <w:tabs>
          <w:tab w:val="left" w:pos="709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1) ввести в состав Совета:</w:t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709" w:leader="none"/>
        </w:tabs>
      </w:pPr>
      <w:r>
        <w:rPr>
          <w:color w:val="000000"/>
          <w:sz w:val="28"/>
          <w:szCs w:val="28"/>
          <w:highlight w:val="none"/>
        </w:rPr>
        <w:t xml:space="preserve">Колупаева Александра Валерьевича, заместителя министра здравоохранения Новосибирской области;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709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Назарова Евгения Геннадьевича</w:t>
      </w:r>
      <w:r>
        <w:rPr>
          <w:color w:val="000000"/>
          <w:sz w:val="28"/>
          <w:szCs w:val="28"/>
        </w:rPr>
        <w:t xml:space="preserve">, исполняющего обязанности министра жилищно-ко</w:t>
      </w:r>
      <w:r>
        <w:rPr>
          <w:color w:val="000000"/>
          <w:sz w:val="28"/>
          <w:szCs w:val="28"/>
        </w:rPr>
        <w:t xml:space="preserve">ммунального хозяйства и энергетики Новосибирской области;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tabs>
          <w:tab w:val="left" w:pos="709" w:leader="none"/>
        </w:tabs>
        <w:rPr>
          <w:b w:val="0"/>
          <w:bCs w:val="0"/>
          <w:color w:val="000000"/>
          <w:sz w:val="26"/>
          <w:szCs w:val="26"/>
          <w14:ligatures w14:val="none"/>
        </w:rPr>
      </w:pPr>
      <w:r>
        <w:rPr>
          <w:color w:val="000000"/>
          <w:sz w:val="28"/>
          <w:szCs w:val="28"/>
        </w:rPr>
        <w:t xml:space="preserve">Пустового </w:t>
      </w:r>
      <w:r>
        <w:rPr>
          <w:color w:val="000000"/>
          <w:sz w:val="28"/>
          <w:szCs w:val="28"/>
        </w:rPr>
        <w:t xml:space="preserve">Николая Васильевича</w:t>
      </w:r>
      <w:r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резидента федерального государственного бюджетного образовательного учреждения высшего образования «Новосибирский государственный технический университет», председателя Совета ректоров вузов Сибирского федерального округа, председателя Совета ректоров высш</w:t>
      </w:r>
      <w:r>
        <w:rPr>
          <w:color w:val="000000"/>
          <w:sz w:val="28"/>
          <w:szCs w:val="28"/>
        </w:rPr>
        <w:t xml:space="preserve">их учебных заведений Новосибирской области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b w:val="0"/>
          <w:bCs w:val="0"/>
          <w:color w:val="000000"/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709" w:leader="none"/>
        </w:tabs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Тимонова Дмитрия Сергеевича,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первого заместителя </w:t>
      </w:r>
      <w:r>
        <w:rPr>
          <w:color w:val="000000"/>
          <w:sz w:val="28"/>
          <w:szCs w:val="28"/>
        </w:rPr>
        <w:t xml:space="preserve">министра строительства Новосибирской области;</w:t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pStyle w:val="654"/>
        <w:ind w:firstLine="709"/>
        <w:jc w:val="both"/>
        <w:tabs>
          <w:tab w:val="left" w:pos="709" w:leader="none"/>
        </w:tabs>
      </w:pPr>
      <w:r>
        <w:rPr>
          <w:color w:val="000000"/>
          <w:sz w:val="28"/>
          <w:szCs w:val="28"/>
        </w:rPr>
        <w:t xml:space="preserve">Шинделова Андрея Викторовича, заместителя Председателя Правительства Новосибирской области – министра сельского хозяйства Новосибирской области;</w:t>
      </w:r>
      <w:r/>
    </w:p>
    <w:p>
      <w:pPr>
        <w:pStyle w:val="654"/>
        <w:ind w:firstLine="709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наименование должности </w:t>
      </w:r>
      <w:r>
        <w:rPr>
          <w:color w:val="000000"/>
          <w:sz w:val="28"/>
          <w:szCs w:val="28"/>
        </w:rPr>
        <w:t xml:space="preserve">Чернявского А.М. </w:t>
      </w:r>
      <w:r>
        <w:rPr>
          <w:sz w:val="28"/>
          <w:szCs w:val="28"/>
        </w:rPr>
        <w:t xml:space="preserve">изложить в следующей редакции: «</w:t>
      </w:r>
      <w:r>
        <w:rPr>
          <w:color w:val="000000"/>
          <w:sz w:val="28"/>
          <w:szCs w:val="28"/>
        </w:rPr>
        <w:t xml:space="preserve">генеральный ди</w:t>
      </w:r>
      <w:r>
        <w:rPr>
          <w:color w:val="000000"/>
          <w:sz w:val="28"/>
          <w:szCs w:val="28"/>
        </w:rPr>
        <w:t xml:space="preserve">ректор федерального государственного бюджетного учреждения «Национальный медицинский исследовательский центр имени академика Е.Н. Мешалкина» Министерства здравоохранения Российской Федерации, член-корреспондент Российской академии наук (по согласованию);»;</w:t>
      </w:r>
      <w:r/>
    </w:p>
    <w:p>
      <w:pPr>
        <w:pStyle w:val="654"/>
        <w:ind w:firstLine="709"/>
        <w:jc w:val="both"/>
        <w:tabs>
          <w:tab w:val="left" w:pos="709" w:leader="none"/>
        </w:tabs>
        <w:rPr>
          <w:u w:val="none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) вывести из состава Совета Архипова Д.Н., Колмакова А.В., Лещенко Е.М.</w:t>
      </w:r>
      <w:r>
        <w:rPr>
          <w:color w:val="000000"/>
          <w:sz w:val="28"/>
          <w:szCs w:val="28"/>
        </w:rPr>
        <w:t xml:space="preserve">, Хальзова К.В.</w:t>
      </w:r>
      <w:r>
        <w:rPr>
          <w:u w:val="none"/>
        </w:rPr>
      </w:r>
      <w:r>
        <w:rPr>
          <w:u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</w:t>
        <w:tab/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</w:pPr>
      <w:r/>
      <w:r/>
    </w:p>
    <w:p>
      <w:pPr>
        <w:pStyle w:val="7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В.В. Васильев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26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993" w:right="567" w:bottom="709" w:left="1515" w:header="0" w:footer="0" w:gutter="0"/>
          <w:cols w:num="1" w:sep="0" w:space="1701" w:equalWidth="1"/>
          <w:docGrid w:linePitch="360"/>
        </w:sectPr>
      </w:pPr>
      <w:r>
        <w:rPr>
          <w:sz w:val="20"/>
          <w:szCs w:val="20"/>
        </w:rPr>
        <w:t xml:space="preserve">238 66 74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center"/>
      </w:pPr>
      <w:r/>
      <w:r/>
    </w:p>
    <w:tbl>
      <w:tblPr>
        <w:tblW w:w="991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41"/>
        <w:gridCol w:w="2460"/>
        <w:gridCol w:w="2711"/>
      </w:tblGrid>
      <w:tr>
        <w:tblPrEx/>
        <w:trPr>
          <w:trHeight w:val="981"/>
        </w:trPr>
        <w:tc>
          <w:tcPr>
            <w:tcW w:w="4741" w:type="dxa"/>
            <w:textDirection w:val="lrTb"/>
            <w:noWrap w:val="false"/>
          </w:tcPr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textDirection w:val="lrTb"/>
            <w:noWrap w:val="false"/>
          </w:tcPr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Ю.Ф. Петухов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«__» _______ 20__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73"/>
        </w:trPr>
        <w:tc>
          <w:tcPr>
            <w:tcW w:w="4741" w:type="dxa"/>
            <w:textDirection w:val="lrTb"/>
            <w:noWrap w:val="false"/>
          </w:tcPr>
          <w:p>
            <w:pPr>
              <w:pStyle w:val="654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Губернатора 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654"/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54"/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54"/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711" w:type="dxa"/>
            <w:textDirection w:val="lrTb"/>
            <w:noWrap w:val="false"/>
          </w:tcPr>
          <w:p>
            <w:pPr>
              <w:pStyle w:val="654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54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И.В. Мануйлова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54"/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«__» _______ 20__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53"/>
        </w:trPr>
        <w:tc>
          <w:tcPr>
            <w:tcW w:w="4741" w:type="dxa"/>
            <w:textDirection w:val="lrTb"/>
            <w:noWrap w:val="false"/>
          </w:tcPr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textDirection w:val="lrTb"/>
            <w:noWrap w:val="false"/>
          </w:tcPr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ind w:left="-250" w:firstLine="0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</w:t>
            </w:r>
            <w:r>
              <w:rPr>
                <w:sz w:val="28"/>
                <w:szCs w:val="28"/>
                <w:lang w:eastAsia="en-US"/>
              </w:rPr>
              <w:t xml:space="preserve"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__» _______ 20__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/>
        </w:trPr>
        <w:tc>
          <w:tcPr>
            <w:tcW w:w="4741" w:type="dxa"/>
            <w:textDirection w:val="lrTb"/>
            <w:noWrap w:val="false"/>
          </w:tcPr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науки и инновационной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6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textDirection w:val="lrTb"/>
            <w:noWrap w:val="false"/>
          </w:tcPr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 Васильев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«__» _______ 20__г.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>
        <w:t xml:space="preserve">Л.В.Медведева</w:t>
      </w:r>
      <w:r/>
    </w:p>
    <w:p>
      <w:pPr>
        <w:pStyle w:val="654"/>
        <w:rPr>
          <w:highlight w:val="yellow"/>
        </w:rPr>
      </w:pPr>
      <w:r>
        <w:t xml:space="preserve">238 67 91</w:t>
      </w:r>
      <w:r>
        <w:rPr>
          <w:highlight w:val="yellow"/>
        </w:rPr>
      </w:r>
      <w:r>
        <w:rPr>
          <w:highlight w:val="yellow"/>
        </w:rPr>
      </w:r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55">
    <w:name w:val="Heading 1"/>
    <w:basedOn w:val="654"/>
    <w:next w:val="6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next w:val="654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next w:val="654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next w:val="654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  <w:qFormat/>
  </w:style>
  <w:style w:type="character" w:styleId="665" w:customStyle="1">
    <w:name w:val="Heading 1 Char"/>
    <w:basedOn w:val="664"/>
    <w:uiPriority w:val="9"/>
    <w:qFormat/>
    <w:rPr>
      <w:rFonts w:ascii="Arial" w:hAnsi="Arial" w:eastAsia="Arial" w:cs="Arial"/>
      <w:sz w:val="40"/>
      <w:szCs w:val="40"/>
    </w:rPr>
  </w:style>
  <w:style w:type="character" w:styleId="666" w:customStyle="1">
    <w:name w:val="Heading 2 Char"/>
    <w:basedOn w:val="664"/>
    <w:uiPriority w:val="9"/>
    <w:qFormat/>
    <w:rPr>
      <w:rFonts w:ascii="Arial" w:hAnsi="Arial" w:eastAsia="Arial" w:cs="Arial"/>
      <w:sz w:val="34"/>
    </w:rPr>
  </w:style>
  <w:style w:type="character" w:styleId="667" w:customStyle="1">
    <w:name w:val="Heading 3 Char"/>
    <w:basedOn w:val="664"/>
    <w:uiPriority w:val="9"/>
    <w:qFormat/>
    <w:rPr>
      <w:rFonts w:ascii="Arial" w:hAnsi="Arial" w:eastAsia="Arial" w:cs="Arial"/>
      <w:sz w:val="30"/>
      <w:szCs w:val="30"/>
    </w:rPr>
  </w:style>
  <w:style w:type="character" w:styleId="668" w:customStyle="1">
    <w:name w:val="Heading 4 Char"/>
    <w:basedOn w:val="66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9" w:customStyle="1">
    <w:name w:val="Heading 5 Char"/>
    <w:basedOn w:val="66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Heading 6 Char"/>
    <w:basedOn w:val="66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basedOn w:val="66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basedOn w:val="66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basedOn w:val="66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Title Char"/>
    <w:basedOn w:val="664"/>
    <w:uiPriority w:val="10"/>
    <w:qFormat/>
    <w:rPr>
      <w:sz w:val="48"/>
      <w:szCs w:val="48"/>
    </w:rPr>
  </w:style>
  <w:style w:type="character" w:styleId="675" w:customStyle="1">
    <w:name w:val="Subtitle Char"/>
    <w:basedOn w:val="664"/>
    <w:uiPriority w:val="11"/>
    <w:qFormat/>
    <w:rPr>
      <w:sz w:val="24"/>
      <w:szCs w:val="24"/>
    </w:rPr>
  </w:style>
  <w:style w:type="character" w:styleId="676" w:customStyle="1">
    <w:name w:val="Quote Char"/>
    <w:uiPriority w:val="29"/>
    <w:qFormat/>
    <w:rPr>
      <w:i/>
    </w:rPr>
  </w:style>
  <w:style w:type="character" w:styleId="677" w:customStyle="1">
    <w:name w:val="Intense Quote Char"/>
    <w:uiPriority w:val="30"/>
    <w:qFormat/>
    <w:rPr>
      <w:i/>
    </w:rPr>
  </w:style>
  <w:style w:type="character" w:styleId="678" w:customStyle="1">
    <w:name w:val="Header Char"/>
    <w:basedOn w:val="664"/>
    <w:uiPriority w:val="99"/>
    <w:qFormat/>
  </w:style>
  <w:style w:type="character" w:styleId="679" w:customStyle="1">
    <w:name w:val="Footnote Text Char"/>
    <w:uiPriority w:val="99"/>
    <w:qFormat/>
    <w:rPr>
      <w:sz w:val="18"/>
    </w:rPr>
  </w:style>
  <w:style w:type="character" w:styleId="680" w:customStyle="1">
    <w:name w:val="Endnote Text Char"/>
    <w:uiPriority w:val="99"/>
    <w:qFormat/>
    <w:rPr>
      <w:sz w:val="20"/>
    </w:rPr>
  </w:style>
  <w:style w:type="character" w:styleId="68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Заголовок Знак"/>
    <w:uiPriority w:val="10"/>
    <w:qFormat/>
    <w:rPr>
      <w:sz w:val="48"/>
      <w:szCs w:val="48"/>
    </w:rPr>
  </w:style>
  <w:style w:type="character" w:styleId="691" w:customStyle="1">
    <w:name w:val="Подзаголовок Знак"/>
    <w:uiPriority w:val="11"/>
    <w:qFormat/>
    <w:rPr>
      <w:sz w:val="24"/>
      <w:szCs w:val="24"/>
    </w:rPr>
  </w:style>
  <w:style w:type="character" w:styleId="692" w:customStyle="1">
    <w:name w:val="Цитата 2 Знак"/>
    <w:link w:val="722"/>
    <w:uiPriority w:val="29"/>
    <w:qFormat/>
    <w:rPr>
      <w:i/>
    </w:rPr>
  </w:style>
  <w:style w:type="character" w:styleId="693" w:customStyle="1">
    <w:name w:val="Выделенная цитата Знак"/>
    <w:link w:val="723"/>
    <w:uiPriority w:val="30"/>
    <w:qFormat/>
    <w:rPr>
      <w:i/>
    </w:rPr>
  </w:style>
  <w:style w:type="character" w:styleId="694" w:customStyle="1">
    <w:name w:val="Верхний колонтитул Знак"/>
    <w:uiPriority w:val="99"/>
    <w:qFormat/>
  </w:style>
  <w:style w:type="character" w:styleId="695" w:customStyle="1">
    <w:name w:val="Footer Char"/>
    <w:uiPriority w:val="99"/>
    <w:qFormat/>
  </w:style>
  <w:style w:type="character" w:styleId="696" w:customStyle="1">
    <w:name w:val="Caption Char"/>
    <w:uiPriority w:val="99"/>
    <w:qFormat/>
  </w:style>
  <w:style w:type="character" w:styleId="697">
    <w:name w:val="Hyperlink"/>
    <w:uiPriority w:val="99"/>
    <w:semiHidden/>
    <w:unhideWhenUsed/>
    <w:rPr>
      <w:color w:val="0000ff"/>
      <w:u w:val="single"/>
    </w:rPr>
  </w:style>
  <w:style w:type="character" w:styleId="698" w:customStyle="1">
    <w:name w:val="Текст сноски Знак"/>
    <w:uiPriority w:val="99"/>
    <w:qFormat/>
    <w:rPr>
      <w:sz w:val="18"/>
    </w:rPr>
  </w:style>
  <w:style w:type="character" w:styleId="699" w:customStyle="1">
    <w:name w:val="Символ сноски"/>
    <w:uiPriority w:val="99"/>
    <w:unhideWhenUsed/>
    <w:qFormat/>
    <w:rPr>
      <w:vertAlign w:val="superscript"/>
    </w:rPr>
  </w:style>
  <w:style w:type="character" w:styleId="700">
    <w:name w:val="footnote reference"/>
    <w:rPr>
      <w:vertAlign w:val="superscript"/>
    </w:rPr>
  </w:style>
  <w:style w:type="character" w:styleId="701" w:customStyle="1">
    <w:name w:val="Текст концевой сноски Знак"/>
    <w:uiPriority w:val="99"/>
    <w:qFormat/>
    <w:rPr>
      <w:sz w:val="20"/>
    </w:rPr>
  </w:style>
  <w:style w:type="character" w:styleId="702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3">
    <w:name w:val="endnote reference"/>
    <w:rPr>
      <w:vertAlign w:val="superscript"/>
    </w:rPr>
  </w:style>
  <w:style w:type="character" w:styleId="704" w:customStyle="1">
    <w:name w:val="Основной текст Знак"/>
    <w:uiPriority w:val="99"/>
    <w:semiHidden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05" w:customStyle="1">
    <w:name w:val="Текст выноски Знак"/>
    <w:link w:val="742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706" w:customStyle="1">
    <w:name w:val="Нижний колонтитул Знак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07">
    <w:name w:val="line number"/>
    <w:qFormat/>
  </w:style>
  <w:style w:type="character" w:styleId="708">
    <w:name w:val="annotation reference"/>
    <w:basedOn w:val="664"/>
    <w:uiPriority w:val="99"/>
    <w:semiHidden/>
    <w:unhideWhenUsed/>
    <w:qFormat/>
    <w:rPr>
      <w:sz w:val="16"/>
      <w:szCs w:val="16"/>
    </w:rPr>
  </w:style>
  <w:style w:type="character" w:styleId="709" w:customStyle="1">
    <w:name w:val="Текст примечания Знак"/>
    <w:basedOn w:val="664"/>
    <w:link w:val="745"/>
    <w:uiPriority w:val="99"/>
    <w:semiHidden/>
    <w:qFormat/>
    <w:rPr>
      <w:rFonts w:ascii="Times New Roman" w:hAnsi="Times New Roman" w:eastAsia="Times New Roman"/>
    </w:rPr>
  </w:style>
  <w:style w:type="character" w:styleId="710" w:customStyle="1">
    <w:name w:val="Тема примечания Знак"/>
    <w:basedOn w:val="709"/>
    <w:link w:val="746"/>
    <w:uiPriority w:val="99"/>
    <w:semiHidden/>
    <w:qFormat/>
    <w:rPr>
      <w:rFonts w:ascii="Times New Roman" w:hAnsi="Times New Roman" w:eastAsia="Times New Roman"/>
      <w:b/>
      <w:bCs/>
    </w:rPr>
  </w:style>
  <w:style w:type="character" w:styleId="711">
    <w:name w:val="Line Number"/>
  </w:style>
  <w:style w:type="paragraph" w:styleId="712">
    <w:name w:val="Заголовок"/>
    <w:basedOn w:val="654"/>
    <w:next w:val="71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13">
    <w:name w:val="Body Text"/>
    <w:basedOn w:val="654"/>
    <w:link w:val="704"/>
    <w:uiPriority w:val="99"/>
    <w:semiHidden/>
    <w:unhideWhenUsed/>
    <w:pPr>
      <w:jc w:val="both"/>
    </w:pPr>
    <w:rPr>
      <w:sz w:val="28"/>
      <w:szCs w:val="28"/>
    </w:rPr>
  </w:style>
  <w:style w:type="paragraph" w:styleId="714">
    <w:name w:val="List"/>
    <w:basedOn w:val="713"/>
    <w:rPr>
      <w:rFonts w:cs="Droid Sans Devanagari"/>
    </w:rPr>
  </w:style>
  <w:style w:type="paragraph" w:styleId="71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16">
    <w:name w:val="Указатель"/>
    <w:basedOn w:val="654"/>
    <w:qFormat/>
    <w:pPr>
      <w:suppressLineNumbers/>
    </w:pPr>
    <w:rPr>
      <w:rFonts w:cs="Droid Sans Devanagari"/>
    </w:rPr>
  </w:style>
  <w:style w:type="paragraph" w:styleId="717">
    <w:name w:val="Title"/>
    <w:basedOn w:val="654"/>
    <w:next w:val="71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8">
    <w:name w:val="index heading"/>
    <w:basedOn w:val="717"/>
    <w:qFormat/>
  </w:style>
  <w:style w:type="paragraph" w:styleId="719">
    <w:name w:val="List Paragraph"/>
    <w:basedOn w:val="654"/>
    <w:uiPriority w:val="34"/>
    <w:qFormat/>
    <w:pPr>
      <w:contextualSpacing/>
      <w:ind w:left="720" w:firstLine="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21">
    <w:name w:val="Subtitle"/>
    <w:basedOn w:val="654"/>
    <w:next w:val="654"/>
    <w:link w:val="691"/>
    <w:uiPriority w:val="11"/>
    <w:qFormat/>
    <w:pPr>
      <w:spacing w:before="200" w:after="200"/>
    </w:pPr>
    <w:rPr>
      <w:sz w:val="24"/>
      <w:szCs w:val="24"/>
    </w:rPr>
  </w:style>
  <w:style w:type="paragraph" w:styleId="722">
    <w:name w:val="Quote"/>
    <w:basedOn w:val="654"/>
    <w:next w:val="654"/>
    <w:link w:val="692"/>
    <w:uiPriority w:val="29"/>
    <w:qFormat/>
    <w:pPr>
      <w:ind w:left="720" w:right="720" w:firstLine="0"/>
    </w:pPr>
    <w:rPr>
      <w:i/>
    </w:rPr>
  </w:style>
  <w:style w:type="paragraph" w:styleId="723">
    <w:name w:val="Intense Quote"/>
    <w:basedOn w:val="654"/>
    <w:next w:val="654"/>
    <w:link w:val="693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4" w:customStyle="1">
    <w:name w:val="Колонтитул"/>
    <w:basedOn w:val="654"/>
    <w:qFormat/>
  </w:style>
  <w:style w:type="paragraph" w:styleId="725">
    <w:name w:val="Header"/>
    <w:basedOn w:val="654"/>
    <w:link w:val="694"/>
    <w:uiPriority w:val="99"/>
    <w:unhideWhenUsed/>
    <w:pPr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726">
    <w:name w:val="Footer"/>
    <w:basedOn w:val="654"/>
    <w:link w:val="706"/>
    <w:uiPriority w:val="99"/>
    <w:unhideWhenUsed/>
    <w:pPr>
      <w:tabs>
        <w:tab w:val="clear" w:pos="709" w:leader="none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727">
    <w:name w:val="footnote text"/>
    <w:basedOn w:val="654"/>
    <w:link w:val="698"/>
    <w:uiPriority w:val="99"/>
    <w:semiHidden/>
    <w:unhideWhenUsed/>
    <w:pPr>
      <w:spacing w:before="0" w:after="40"/>
    </w:pPr>
    <w:rPr>
      <w:sz w:val="18"/>
    </w:rPr>
  </w:style>
  <w:style w:type="paragraph" w:styleId="728">
    <w:name w:val="endnote text"/>
    <w:basedOn w:val="654"/>
    <w:link w:val="701"/>
    <w:uiPriority w:val="99"/>
    <w:semiHidden/>
    <w:unhideWhenUsed/>
  </w:style>
  <w:style w:type="paragraph" w:styleId="729">
    <w:name w:val="toc 1"/>
    <w:basedOn w:val="654"/>
    <w:next w:val="654"/>
    <w:uiPriority w:val="39"/>
    <w:unhideWhenUsed/>
    <w:pPr>
      <w:spacing w:before="0" w:after="57"/>
    </w:pPr>
  </w:style>
  <w:style w:type="paragraph" w:styleId="730">
    <w:name w:val="toc 2"/>
    <w:basedOn w:val="654"/>
    <w:next w:val="654"/>
    <w:uiPriority w:val="39"/>
    <w:unhideWhenUsed/>
    <w:pPr>
      <w:ind w:left="283" w:firstLine="0"/>
      <w:spacing w:before="0" w:after="57"/>
    </w:pPr>
  </w:style>
  <w:style w:type="paragraph" w:styleId="731">
    <w:name w:val="toc 3"/>
    <w:basedOn w:val="654"/>
    <w:next w:val="654"/>
    <w:uiPriority w:val="39"/>
    <w:unhideWhenUsed/>
    <w:pPr>
      <w:ind w:left="567" w:firstLine="0"/>
      <w:spacing w:before="0" w:after="57"/>
    </w:pPr>
  </w:style>
  <w:style w:type="paragraph" w:styleId="732">
    <w:name w:val="toc 4"/>
    <w:basedOn w:val="654"/>
    <w:next w:val="654"/>
    <w:uiPriority w:val="39"/>
    <w:unhideWhenUsed/>
    <w:pPr>
      <w:ind w:left="850" w:firstLine="0"/>
      <w:spacing w:before="0" w:after="57"/>
    </w:pPr>
  </w:style>
  <w:style w:type="paragraph" w:styleId="733">
    <w:name w:val="toc 5"/>
    <w:basedOn w:val="654"/>
    <w:next w:val="654"/>
    <w:uiPriority w:val="39"/>
    <w:unhideWhenUsed/>
    <w:pPr>
      <w:ind w:left="1134" w:firstLine="0"/>
      <w:spacing w:before="0" w:after="57"/>
    </w:pPr>
  </w:style>
  <w:style w:type="paragraph" w:styleId="734">
    <w:name w:val="toc 6"/>
    <w:basedOn w:val="654"/>
    <w:next w:val="654"/>
    <w:uiPriority w:val="39"/>
    <w:unhideWhenUsed/>
    <w:pPr>
      <w:ind w:left="1417" w:firstLine="0"/>
      <w:spacing w:before="0" w:after="57"/>
    </w:pPr>
  </w:style>
  <w:style w:type="paragraph" w:styleId="735">
    <w:name w:val="toc 7"/>
    <w:basedOn w:val="654"/>
    <w:next w:val="654"/>
    <w:uiPriority w:val="39"/>
    <w:unhideWhenUsed/>
    <w:pPr>
      <w:ind w:left="1701" w:firstLine="0"/>
      <w:spacing w:before="0" w:after="57"/>
    </w:pPr>
  </w:style>
  <w:style w:type="paragraph" w:styleId="736">
    <w:name w:val="toc 8"/>
    <w:basedOn w:val="654"/>
    <w:next w:val="654"/>
    <w:uiPriority w:val="39"/>
    <w:unhideWhenUsed/>
    <w:pPr>
      <w:ind w:left="1984" w:firstLine="0"/>
      <w:spacing w:before="0" w:after="57"/>
    </w:pPr>
  </w:style>
  <w:style w:type="paragraph" w:styleId="737">
    <w:name w:val="toc 9"/>
    <w:basedOn w:val="654"/>
    <w:next w:val="654"/>
    <w:uiPriority w:val="39"/>
    <w:unhideWhenUsed/>
    <w:pPr>
      <w:ind w:left="2268" w:firstLine="0"/>
      <w:spacing w:before="0" w:after="57"/>
    </w:pPr>
  </w:style>
  <w:style w:type="paragraph" w:styleId="738">
    <w:name w:val="Index Heading"/>
    <w:basedOn w:val="712"/>
  </w:style>
  <w:style w:type="paragraph" w:styleId="739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40">
    <w:name w:val="table of figures"/>
    <w:basedOn w:val="654"/>
    <w:next w:val="654"/>
    <w:uiPriority w:val="99"/>
    <w:unhideWhenUsed/>
    <w:qFormat/>
  </w:style>
  <w:style w:type="paragraph" w:styleId="741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742">
    <w:name w:val="Balloon Text"/>
    <w:basedOn w:val="654"/>
    <w:link w:val="70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743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744" w:customStyle="1">
    <w:name w:val="Обычный (веб)1"/>
    <w:uiPriority w:val="99"/>
    <w:unhideWhenUsed/>
    <w:qFormat/>
    <w:pPr>
      <w:jc w:val="left"/>
      <w:spacing w:beforeAutospacing="1" w:afterAutospacing="1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45">
    <w:name w:val="annotation text"/>
    <w:basedOn w:val="654"/>
    <w:link w:val="709"/>
    <w:uiPriority w:val="99"/>
    <w:semiHidden/>
    <w:unhideWhenUsed/>
    <w:qFormat/>
  </w:style>
  <w:style w:type="paragraph" w:styleId="746">
    <w:name w:val="annotation subject"/>
    <w:basedOn w:val="745"/>
    <w:next w:val="745"/>
    <w:link w:val="710"/>
    <w:uiPriority w:val="99"/>
    <w:semiHidden/>
    <w:unhideWhenUsed/>
    <w:qFormat/>
    <w:rPr>
      <w:b/>
      <w:bCs/>
    </w:rPr>
  </w:style>
  <w:style w:type="numbering" w:styleId="747" w:default="1">
    <w:name w:val="No List"/>
    <w:uiPriority w:val="99"/>
    <w:semiHidden/>
    <w:unhideWhenUsed/>
    <w:qFormat/>
  </w:style>
  <w:style w:type="table" w:styleId="74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"/>
    <w:basedOn w:val="748"/>
    <w:uiPriority w:val="59"/>
    <w:tblPr/>
  </w:style>
  <w:style w:type="table" w:styleId="750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8AC721394EEC8870425A74814FC0FA3678596D1710FAC2087958AA6468D177F6LAU9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Марина Анатольевна</dc:creator>
  <dc:description/>
  <dc:language>ru-RU</dc:language>
  <cp:revision>14</cp:revision>
  <dcterms:created xsi:type="dcterms:W3CDTF">2024-09-04T05:00:00Z</dcterms:created>
  <dcterms:modified xsi:type="dcterms:W3CDTF">2024-10-14T02:50:06Z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