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Theme="minorHAnsi"/>
          <w:lang w:eastAsia="en-US"/>
        </w:rPr>
      </w:pPr>
      <w:r>
        <w:t xml:space="preserve">О внесении изменений в приказ департамента имущества и земельных отношений Новосибирской области </w:t>
      </w:r>
      <w:r>
        <w:rPr>
          <w:rFonts w:eastAsiaTheme="minorHAnsi"/>
          <w:lang w:eastAsia="en-US"/>
        </w:rPr>
        <w:t xml:space="preserve">от 16.08.2024 № 2725-НПА</w:t>
      </w:r>
    </w:p>
    <w:p>
      <w:pPr>
        <w:jc w:val="center"/>
      </w:pPr>
    </w:p>
    <w:p>
      <w:pPr>
        <w:pStyle w:val="3"/>
        <w:ind w:left="0"/>
        <w:jc w:val="center"/>
      </w:pPr>
    </w:p>
    <w:p>
      <w:pPr>
        <w:jc w:val="both"/>
        <w:rPr>
          <w:b/>
          <w:bCs/>
          <w:color w:val="000000" w:themeColor="text1"/>
        </w:rPr>
      </w:pPr>
      <w:r>
        <w:tab/>
      </w:r>
      <w:r>
        <w:rPr>
          <w:b/>
        </w:rPr>
        <w:t xml:space="preserve">П</w:t>
      </w:r>
      <w:r>
        <w:rPr>
          <w:b/>
          <w:bCs/>
          <w:color w:val="000000" w:themeColor="text1"/>
        </w:rPr>
        <w:t xml:space="preserve"> р и </w:t>
      </w:r>
      <w:r>
        <w:rPr>
          <w:b/>
          <w:bCs/>
          <w:color w:val="000000" w:themeColor="text1"/>
        </w:rPr>
        <w:t xml:space="preserve">к</w:t>
      </w:r>
      <w:r>
        <w:rPr>
          <w:b/>
          <w:bCs/>
          <w:color w:val="000000" w:themeColor="text1"/>
        </w:rPr>
        <w:t xml:space="preserve"> а з ы в а ю:</w:t>
      </w:r>
    </w:p>
    <w:p>
      <w:pPr>
        <w:jc w:val="both"/>
        <w:rPr>
          <w:rFonts w:eastAsiaTheme="minorHAnsi"/>
          <w:lang w:eastAsia="en-US"/>
        </w:rPr>
      </w:pPr>
      <w:r>
        <w:tab/>
        <w:t xml:space="preserve">Внести в </w:t>
      </w:r>
      <w:r>
        <w:rPr>
          <w:rFonts w:eastAsiaTheme="minorHAnsi"/>
          <w:lang w:eastAsia="en-US"/>
        </w:rPr>
        <w:t xml:space="preserve">приказ департамента имущества и земельных отношений Новосибирской области от 16.08.2024 № 2725-НПА «Об утверждении Порядка взаимодействия с клиентом в департаменте имущества и земельных отношений Новосибирской области» следующие изменения:</w:t>
      </w:r>
    </w:p>
    <w:p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в Порядке взаимодействия с клиентом в департаменте имущества и земельных отношений Новосибирской области:</w:t>
      </w:r>
    </w:p>
    <w:p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 Абзац четвертый пункта 1 признать утратившим силу.</w:t>
      </w:r>
    </w:p>
    <w:p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2. Пункт 2 дополнить абзацем следующего содержания:</w:t>
      </w:r>
    </w:p>
    <w:p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«база знаний – хранилище информационных и методических материалов, необходимых для оказания консультационной помощи клиенту, размещенное на внутреннем ресурсе департамента.».</w:t>
      </w:r>
    </w:p>
    <w:p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3. Дополнить пунктом 3.1 следующего содержания:</w:t>
      </w:r>
    </w:p>
    <w:p>
      <w:pPr>
        <w:ind w:firstLine="709"/>
      </w:pPr>
      <w:r>
        <w:rPr>
          <w:rFonts w:eastAsiaTheme="minorHAnsi"/>
          <w:lang w:eastAsia="en-US"/>
        </w:rPr>
        <w:t xml:space="preserve">«3.1. </w:t>
      </w:r>
      <w:r>
        <w:t xml:space="preserve">Каналами поступления сообщений в департамент могут быть:</w:t>
      </w:r>
    </w:p>
    <w:p>
      <w:pPr>
        <w:ind w:firstLine="709"/>
      </w:pPr>
      <w:r>
        <w:t xml:space="preserve">официальный сайт Общественной приемной Губернатора Новосибирской области;</w:t>
      </w:r>
    </w:p>
    <w:p>
      <w:pPr>
        <w:ind w:firstLine="709"/>
      </w:pPr>
      <w:r>
        <w:t xml:space="preserve">официальный сайт департамента;</w:t>
      </w:r>
    </w:p>
    <w:p>
      <w:pPr>
        <w:ind w:firstLine="709"/>
      </w:pPr>
      <w:r>
        <w:t xml:space="preserve">почта;</w:t>
      </w:r>
    </w:p>
    <w:p>
      <w:pPr>
        <w:ind w:firstLine="709"/>
      </w:pPr>
      <w:r>
        <w:t xml:space="preserve">электронная почта;</w:t>
      </w:r>
    </w:p>
    <w:p>
      <w:pPr>
        <w:ind w:firstLine="709"/>
      </w:pPr>
      <w:r>
        <w:t xml:space="preserve">личный прием;</w:t>
      </w:r>
    </w:p>
    <w:p>
      <w:pPr>
        <w:ind w:firstLine="709"/>
      </w:pPr>
      <w:r>
        <w:t xml:space="preserve">система межведомственного электронного документооборота (МЭДО);</w:t>
      </w:r>
    </w:p>
    <w:p>
      <w:pPr>
        <w:ind w:firstLine="709"/>
      </w:pPr>
      <w:r>
        <w:t xml:space="preserve">государственные </w:t>
      </w:r>
      <w:r>
        <w:t xml:space="preserve">паблики</w:t>
      </w:r>
      <w:r>
        <w:t xml:space="preserve"> («</w:t>
      </w:r>
      <w:r>
        <w:t xml:space="preserve">ВКонтакте</w:t>
      </w:r>
      <w:r>
        <w:t xml:space="preserve">», «Одноклассники»);</w:t>
      </w:r>
    </w:p>
    <w:p>
      <w:pPr>
        <w:ind w:firstLine="709"/>
      </w:pPr>
      <w:r>
        <w:t xml:space="preserve">мессенджер «</w:t>
      </w:r>
      <w:r>
        <w:t xml:space="preserve">Telegram</w:t>
      </w:r>
      <w:r>
        <w:t xml:space="preserve">»;</w:t>
      </w:r>
    </w:p>
    <w:p>
      <w:pPr>
        <w:ind w:firstLine="709"/>
      </w:pPr>
      <w:r>
        <w:t xml:space="preserve">сервис «</w:t>
      </w:r>
      <w:r>
        <w:t xml:space="preserve">Госуслуги.Решаем</w:t>
      </w:r>
      <w:r>
        <w:t xml:space="preserve"> вместе» (далее</w:t>
      </w:r>
      <w:r>
        <w:rPr>
          <w:lang w:val="en-US"/>
        </w:rPr>
        <w:t xml:space="preserve"> </w:t>
      </w:r>
      <w:r>
        <w:t xml:space="preserve">–</w:t>
      </w:r>
      <w:r>
        <w:rPr>
          <w:lang w:val="en-US"/>
        </w:rPr>
        <w:t xml:space="preserve"> </w:t>
      </w:r>
      <w:r>
        <w:t xml:space="preserve">ПОС);</w:t>
      </w:r>
    </w:p>
    <w:p>
      <w:pPr>
        <w:ind w:firstLine="709"/>
      </w:pPr>
      <w:r>
        <w:t xml:space="preserve">консультационная линия департамента;</w:t>
      </w:r>
    </w:p>
    <w:p>
      <w:pPr>
        <w:ind w:firstLine="709"/>
      </w:pPr>
      <w:r>
        <w:t xml:space="preserve">Единый контактный центр Новосибирской области (далее</w:t>
      </w:r>
      <w:r>
        <w:rPr>
          <w:lang w:val="en-US"/>
        </w:rPr>
        <w:t xml:space="preserve"> </w:t>
      </w:r>
      <w:r>
        <w:t xml:space="preserve">–</w:t>
      </w:r>
      <w:r>
        <w:rPr>
          <w:lang w:val="en-US"/>
        </w:rPr>
        <w:t xml:space="preserve"> </w:t>
      </w:r>
      <w:r>
        <w:t xml:space="preserve">ЕКЦ).».</w:t>
      </w:r>
    </w:p>
    <w:p>
      <w:pPr>
        <w:ind w:firstLine="708"/>
        <w:jc w:val="both"/>
        <w:rPr>
          <w:rFonts w:eastAsiaTheme="minorHAnsi"/>
          <w:lang w:eastAsia="en-US"/>
        </w:rPr>
      </w:pPr>
      <w:r>
        <w:t xml:space="preserve">4. </w:t>
      </w:r>
      <w:r>
        <w:rPr>
          <w:rFonts w:eastAsiaTheme="minorHAnsi"/>
          <w:lang w:eastAsia="en-US"/>
        </w:rPr>
        <w:t xml:space="preserve">Дополнить пунктом 9.1 следующего содержания:</w:t>
      </w:r>
    </w:p>
    <w:p>
      <w:pPr>
        <w:ind w:firstLine="709"/>
        <w:jc w:val="both"/>
      </w:pPr>
      <w:r>
        <w:t xml:space="preserve">«9.1. Письменные обращения, поступающие в департамент через любую точку взаимодействия и требующие ответа по существу, классифицируются отделом организационной и кадровой работы департамента по теме обращения и по типовым потребностям клиентов.».</w:t>
      </w:r>
    </w:p>
    <w:p>
      <w:pPr>
        <w:ind w:firstLine="708"/>
        <w:jc w:val="both"/>
        <w:rPr>
          <w:rFonts w:eastAsiaTheme="minorHAnsi"/>
          <w:lang w:eastAsia="en-US"/>
        </w:rPr>
      </w:pPr>
      <w:r>
        <w:t xml:space="preserve">5. </w:t>
      </w:r>
      <w:r>
        <w:rPr>
          <w:rFonts w:eastAsiaTheme="minorHAnsi"/>
          <w:lang w:eastAsia="en-US"/>
        </w:rPr>
        <w:t xml:space="preserve">Дополнить пунктом 10.1 следующего содержания:</w:t>
      </w:r>
    </w:p>
    <w:p>
      <w:pPr>
        <w:ind w:firstLine="709"/>
        <w:jc w:val="both"/>
      </w:pPr>
      <w:r>
        <w:t xml:space="preserve">«10.1. В случае, если сообщение поступает посредством ПОС, предусматривается дополнительная категоризация обращений, а также применение технологии Фаст-трек (сокращенный срок рассмотрения сообщений).».</w:t>
      </w:r>
    </w:p>
    <w:p>
      <w:pPr>
        <w:ind w:firstLine="708"/>
        <w:jc w:val="both"/>
        <w:rPr>
          <w:rFonts w:eastAsiaTheme="minorHAnsi"/>
          <w:lang w:eastAsia="en-US"/>
        </w:rPr>
      </w:pPr>
      <w:r>
        <w:t xml:space="preserve">6. </w:t>
      </w:r>
      <w:r>
        <w:rPr>
          <w:rFonts w:eastAsiaTheme="minorHAnsi"/>
          <w:lang w:eastAsia="en-US"/>
        </w:rPr>
        <w:t xml:space="preserve">Дополнить пунктом 14.1 следующего содержания:</w:t>
      </w:r>
    </w:p>
    <w:p>
      <w:pPr>
        <w:ind w:firstLine="709"/>
        <w:jc w:val="both"/>
      </w:pPr>
      <w:r>
        <w:t xml:space="preserve">«14.1. При подготовке ответа на сообщение сотрудник департамента должен по возможности использовать материалы базы знаний, организованной согласно разделу «База знаний» настоящего Порядка.».</w:t>
      </w:r>
    </w:p>
    <w:p>
      <w:pPr>
        <w:ind w:firstLine="709"/>
        <w:jc w:val="both"/>
      </w:pPr>
      <w:r>
        <w:t xml:space="preserve">7. Пункт 24 дополнить подпунктом 2.1 следующего содержания:</w:t>
      </w:r>
    </w:p>
    <w:p>
      <w:pPr>
        <w:ind w:firstLine="709"/>
        <w:jc w:val="both"/>
      </w:pPr>
      <w:r>
        <w:t xml:space="preserve">«2.1) завершить разговор согласно </w:t>
      </w:r>
      <w:r>
        <w:t xml:space="preserve">скрипту</w:t>
      </w:r>
      <w:r>
        <w:t xml:space="preserve"> в Базе знаний;».</w:t>
      </w:r>
    </w:p>
    <w:p>
      <w:pPr>
        <w:ind w:firstLine="708"/>
        <w:jc w:val="both"/>
        <w:rPr>
          <w:rFonts w:eastAsiaTheme="minorHAnsi"/>
          <w:lang w:eastAsia="en-US"/>
        </w:rPr>
      </w:pPr>
      <w:r>
        <w:t xml:space="preserve">8. </w:t>
      </w:r>
      <w:r>
        <w:rPr>
          <w:rFonts w:eastAsiaTheme="minorHAnsi"/>
          <w:lang w:eastAsia="en-US"/>
        </w:rPr>
        <w:t xml:space="preserve">Дополнить пунктами 27.1 – 27.4 следующего содержания:</w:t>
      </w:r>
    </w:p>
    <w:p>
      <w:pPr>
        <w:ind w:firstLine="709"/>
        <w:jc w:val="both"/>
      </w:pPr>
      <w:r>
        <w:t xml:space="preserve">«27.1. При ответе на звонок, поступающий на консультационную линию департамента, сотрудник департамента использует скрипты приветствия, а при завершении разговора – скрипты прощания, расположенные в Базе знаний.</w:t>
      </w:r>
    </w:p>
    <w:p>
      <w:pPr>
        <w:ind w:firstLine="709"/>
        <w:jc w:val="both"/>
      </w:pPr>
      <w:r>
        <w:t xml:space="preserve">Для предоставления консультаций (ответа на вопрос) сотрудник департамента использует релевантные материалы, содержащиеся в Базе знаний, в том числе, перечень наиболее часто задаваемых вопросов с ответами на них, шаблоны ответов на частые или типовые обращения и примеры решений управленческих и рабочих задач.</w:t>
      </w:r>
    </w:p>
    <w:p>
      <w:pPr>
        <w:ind w:firstLine="709"/>
        <w:jc w:val="both"/>
      </w:pPr>
      <w:r>
        <w:t xml:space="preserve">27.2. Отдел организационной и кадровой работы департамента ведет учет звонков, поступивших на консультационную линию департамента в часы работы и оставшихся без ответа.</w:t>
      </w:r>
    </w:p>
    <w:p>
      <w:pPr>
        <w:ind w:firstLine="709"/>
        <w:jc w:val="both"/>
      </w:pPr>
      <w:r>
        <w:t xml:space="preserve">27.3. После завершения консультации сотрудник департамента должен предложить заявителю ответить на вопросы: </w:t>
      </w:r>
    </w:p>
    <w:p>
      <w:pPr>
        <w:ind w:firstLine="709"/>
        <w:jc w:val="both"/>
      </w:pPr>
      <w:r>
        <w:t xml:space="preserve">1) «Получен ли ответ на Ваш вопрос?» (ответы: «да» / «нет»); </w:t>
      </w:r>
    </w:p>
    <w:p>
      <w:pPr>
        <w:ind w:firstLine="709"/>
        <w:jc w:val="both"/>
      </w:pPr>
      <w:r>
        <w:t xml:space="preserve">2) «Оцените качество работы консультанта» (ответы: «удовлетворен» / «частично удовлетворен»/ «не удовлетворен»).</w:t>
      </w:r>
    </w:p>
    <w:p>
      <w:pPr>
        <w:ind w:firstLine="709"/>
        <w:jc w:val="both"/>
      </w:pPr>
      <w:r>
        <w:t xml:space="preserve">В целях повышения качества обслуживания сотрудник департамента рекомендует заявителю отсканировать QR-код на сайте департамента и оставить свой отзыв.</w:t>
      </w:r>
    </w:p>
    <w:p>
      <w:pPr>
        <w:ind w:firstLine="709"/>
        <w:jc w:val="both"/>
      </w:pPr>
      <w:r>
        <w:t xml:space="preserve">27.4. Получение консультации клиентами департамента также реализовано путем обращения в ЕКЦ посредством телефонной связи по номеру 110.</w:t>
      </w:r>
    </w:p>
    <w:p>
      <w:pPr>
        <w:ind w:firstLine="709"/>
        <w:jc w:val="both"/>
      </w:pPr>
      <w:r>
        <w:t xml:space="preserve">Время работы ЕКЦ с понедельника по четверг с 09:00 ч. до 18:00 ч., в пятницу с 09:00 ч. до 17:00 ч., за исключением выходных и нерабочих праздничных дней.».</w:t>
      </w:r>
    </w:p>
    <w:p>
      <w:pPr>
        <w:ind w:firstLine="709"/>
        <w:jc w:val="both"/>
      </w:pPr>
      <w:r>
        <w:t xml:space="preserve">9. Пункт 28 изложить в следующей редакции:</w:t>
      </w:r>
    </w:p>
    <w:p>
      <w:pPr>
        <w:ind w:firstLine="709"/>
        <w:jc w:val="both"/>
      </w:pPr>
      <w:r>
        <w:t xml:space="preserve">«28. Предварительная запись клиентов для личного посещения департамента осуществляется на основании письменного обращения и</w:t>
      </w:r>
      <w:r>
        <w:t xml:space="preserve">ли</w:t>
      </w:r>
      <w:r>
        <w:t xml:space="preserve"> устного обращения (при обращении лично или по телефонам 238-60-02, 238-60-62 в рабочие часы департамента).».</w:t>
      </w:r>
    </w:p>
    <w:p>
      <w:pPr>
        <w:ind w:firstLine="709"/>
        <w:jc w:val="both"/>
      </w:pPr>
      <w:r>
        <w:t xml:space="preserve">10. дополнить пунктами 35.1 – 35.3 следующего содержания:</w:t>
      </w:r>
    </w:p>
    <w:p>
      <w:pPr>
        <w:ind w:firstLine="709"/>
        <w:jc w:val="both"/>
      </w:pPr>
      <w:r>
        <w:t xml:space="preserve">«35.1. Руководитель департамента и должностные лица департамента, уполномоченные на проведение личного приема лица, проводят личный прием клиентов в помещениях, соответствующих санитарно-эпидемиологическим требованиям, обеспечивающих доступность для клиентов с ограниченными физическими возможностями, общественную и пожарную безопасность, а также недопущение разглашения сведений, содержащихся в устных обращениях.</w:t>
      </w:r>
    </w:p>
    <w:p>
      <w:pPr>
        <w:ind w:firstLine="709"/>
        <w:jc w:val="both"/>
      </w:pPr>
      <w:r>
        <w:t xml:space="preserve">Не допускается перепоручение проведения личного приема клиентов лицам, не имеющим на то полномочий.</w:t>
      </w:r>
    </w:p>
    <w:p>
      <w:pPr>
        <w:ind w:firstLine="709"/>
        <w:jc w:val="both"/>
      </w:pPr>
      <w:r>
        <w:t xml:space="preserve">35.2. В приемной департамента уполномоченное лицо:</w:t>
      </w:r>
    </w:p>
    <w:p>
      <w:pPr>
        <w:ind w:firstLine="709"/>
        <w:jc w:val="both"/>
      </w:pPr>
      <w:r>
        <w:t xml:space="preserve">1) проверяет у клиента документ, удостоверяющий личность, для сверки данных с карточкой личного приема клиента, при необходимости вносит в карточку недостающие данные;</w:t>
      </w:r>
    </w:p>
    <w:p>
      <w:pPr>
        <w:ind w:firstLine="709"/>
        <w:jc w:val="both"/>
      </w:pPr>
      <w:r>
        <w:t xml:space="preserve">2) информирует клиента о ведении видео- или </w:t>
      </w:r>
      <w:r>
        <w:t xml:space="preserve">аудиопротоколирования</w:t>
      </w:r>
      <w:r>
        <w:t xml:space="preserve"> личного приема (при наличии оборудования); при несогласии клиента с ведением </w:t>
      </w:r>
      <w:r>
        <w:t xml:space="preserve">видеопротоколирования</w:t>
      </w:r>
      <w:r>
        <w:t xml:space="preserve"> в ходе его личного приема, личный прием проводится в помещении, в котором система </w:t>
      </w:r>
      <w:r>
        <w:t xml:space="preserve">видеопротоколирования</w:t>
      </w:r>
      <w:r>
        <w:t xml:space="preserve"> отсутствует.</w:t>
      </w:r>
    </w:p>
    <w:p>
      <w:pPr>
        <w:ind w:firstLine="709"/>
        <w:jc w:val="both"/>
      </w:pPr>
      <w:r>
        <w:t xml:space="preserve">35.3. Руководитель департамента, ведущий личный прием клиентов, или уполномоченное на то лицо:</w:t>
      </w:r>
    </w:p>
    <w:p>
      <w:pPr>
        <w:ind w:firstLine="709"/>
        <w:jc w:val="both"/>
      </w:pPr>
      <w:r>
        <w:t xml:space="preserve">1) представляется клиенту;</w:t>
      </w:r>
    </w:p>
    <w:p>
      <w:pPr>
        <w:ind w:firstLine="709"/>
        <w:jc w:val="both"/>
      </w:pPr>
      <w:r>
        <w:t xml:space="preserve">2) уточняет у клиента информацию, обращался ли он в какой-либо орган </w:t>
      </w:r>
      <w:r>
        <w:t xml:space="preserve">для разрешения</w:t>
      </w:r>
      <w:r>
        <w:t xml:space="preserve"> поставленного в устном обращении вопроса и в каком порядке он обращался.</w:t>
      </w:r>
    </w:p>
    <w:p>
      <w:pPr>
        <w:ind w:firstLine="709"/>
        <w:jc w:val="both"/>
      </w:pPr>
      <w:r>
        <w:t xml:space="preserve">По результатам личного приема клиенту дается ответ на вопросы, изложенные в обращении при личном приеме.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клиента может быть дан устно в ходе личного приема, о чем делается запись в карточке личного приема клиента. В остальных случаях дается письменный ответ по существу поставленных в обращении вопросов в установленный срок, и направляется по почтовому адресу или адресу электронной почты.</w:t>
      </w:r>
    </w:p>
    <w:p>
      <w:pPr>
        <w:ind w:firstLine="709"/>
        <w:jc w:val="both"/>
      </w:pPr>
      <w:r>
        <w:t xml:space="preserve">Письменный ответ клиенту по результатам рассмотрения обращения на личном приеме подписывает должностное лицо, проводившее личный прием.</w:t>
      </w:r>
    </w:p>
    <w:p>
      <w:pPr>
        <w:ind w:firstLine="709"/>
        <w:jc w:val="both"/>
      </w:pPr>
      <w:r>
        <w:t xml:space="preserve">В случае если в обращении содержатся вопросы, решение которых не входит в компетенцию должностного лица, ведущего личный прием, клиенту дается разъяснение, куда и в каком порядке ему следует обратиться.</w:t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При взаимодействии с иностранными гражданами или лицами без гражданства, в случае необходимости и с учетом их потребностей, предоставляется возможность разъяснения требований на языке международного общения (английский язык) или государственных языках государств-членов ЕАЭС.</w:t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При личном приеме, в случае необходимости, клиенту предоставляется возможность разъяснения информации с использованием жестового языка, включая обеспечение допуска на объект </w:t>
      </w:r>
      <w:r>
        <w:rPr>
          <w:color w:val="000000" w:themeColor="text1"/>
          <w:highlight w:val="white"/>
        </w:rPr>
        <w:t xml:space="preserve">сурдопереводчика</w:t>
      </w:r>
      <w:r>
        <w:rPr>
          <w:color w:val="000000" w:themeColor="text1"/>
          <w:highlight w:val="white"/>
        </w:rPr>
        <w:t xml:space="preserve">, </w:t>
      </w:r>
      <w:r>
        <w:rPr>
          <w:color w:val="000000" w:themeColor="text1"/>
          <w:highlight w:val="white"/>
        </w:rPr>
        <w:t xml:space="preserve">тифлопереводчика</w:t>
      </w:r>
      <w:r>
        <w:rPr>
          <w:color w:val="000000" w:themeColor="text1"/>
          <w:highlight w:val="white"/>
        </w:rPr>
        <w:t xml:space="preserve"> для клиентов с нарушением слуха.».</w:t>
      </w:r>
    </w:p>
    <w:p>
      <w:pPr>
        <w:ind w:firstLine="709"/>
        <w:jc w:val="both"/>
      </w:pPr>
      <w:r>
        <w:rPr>
          <w:color w:val="000000" w:themeColor="text1"/>
          <w:highlight w:val="white"/>
        </w:rPr>
        <w:t xml:space="preserve">11. В пункте 36 слова «такого личного посещения» заменить словами «</w:t>
      </w:r>
      <w:r>
        <w:t xml:space="preserve">взаимодействия путем анкетирования по </w:t>
      </w:r>
      <w:r>
        <w:rPr>
          <w:lang w:val="en-US"/>
        </w:rPr>
        <w:t xml:space="preserve">QR</w:t>
      </w:r>
      <w:r>
        <w:t xml:space="preserve">-коду или на бумажном носителе». </w:t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12. Дополнить разделом </w:t>
      </w:r>
      <w:r>
        <w:rPr>
          <w:color w:val="000000" w:themeColor="text1"/>
          <w:highlight w:val="white"/>
          <w:lang w:val="en-US"/>
        </w:rPr>
        <w:t xml:space="preserve">V</w:t>
      </w:r>
      <w:r>
        <w:rPr>
          <w:color w:val="000000" w:themeColor="text1"/>
          <w:highlight w:val="white"/>
        </w:rPr>
        <w:t xml:space="preserve"> следующего содержания:</w:t>
      </w:r>
    </w:p>
    <w:p>
      <w:pPr>
        <w:ind w:firstLine="709"/>
        <w:jc w:val="center"/>
        <w:rPr>
          <w:b/>
          <w:color w:val="000000" w:themeColor="text1"/>
          <w:highlight w:val="white"/>
        </w:rPr>
      </w:pPr>
      <w:r>
        <w:rPr>
          <w:b/>
          <w:color w:val="000000" w:themeColor="text1"/>
          <w:highlight w:val="white"/>
        </w:rPr>
        <w:t xml:space="preserve">«</w:t>
      </w:r>
      <w:r>
        <w:rPr>
          <w:b/>
          <w:color w:val="000000" w:themeColor="text1"/>
          <w:highlight w:val="white"/>
          <w:lang w:val="en-US"/>
        </w:rPr>
        <w:t xml:space="preserve">V</w:t>
      </w:r>
      <w:r>
        <w:rPr>
          <w:b/>
          <w:color w:val="000000" w:themeColor="text1"/>
          <w:highlight w:val="white"/>
        </w:rPr>
        <w:t xml:space="preserve">. База знаний</w:t>
      </w:r>
    </w:p>
    <w:p>
      <w:pPr>
        <w:ind w:firstLine="709"/>
        <w:jc w:val="center"/>
        <w:rPr>
          <w:b/>
          <w:color w:val="000000" w:themeColor="text1"/>
          <w:highlight w:val="white"/>
        </w:rPr>
      </w:pPr>
    </w:p>
    <w:p>
      <w:pPr>
        <w:ind w:firstLine="709"/>
        <w:jc w:val="both"/>
      </w:pPr>
      <w:r>
        <w:t xml:space="preserve">37. Основная задача Базы знаний – сокращение времени на поиск необходимой информации и возможность быстрого получения внутренним или внешним клиентам ответов на типовые вопросы, обеспечение последовательности в решениях и при коммуникации с клиентами.</w:t>
      </w:r>
    </w:p>
    <w:p>
      <w:pPr>
        <w:ind w:firstLine="709"/>
        <w:jc w:val="both"/>
      </w:pPr>
      <w:r>
        <w:t xml:space="preserve">38. База знаний представляет собой общее пространство на внутреннем ресурсе департамента, где в структурированном виде представлены различные материалы по функциям департамента.</w:t>
      </w:r>
    </w:p>
    <w:p>
      <w:pPr>
        <w:ind w:firstLine="709"/>
        <w:jc w:val="both"/>
      </w:pPr>
      <w:r>
        <w:t xml:space="preserve">39. База знаний содержит материалы в отношении всех функций департамента. Ответственными за заполнение соответствующих разделов Базы знаний являются структурные подразделения департамента, ответственные за реализацию соответствующих функций. </w:t>
      </w:r>
    </w:p>
    <w:p>
      <w:pPr>
        <w:ind w:firstLine="709"/>
        <w:jc w:val="both"/>
      </w:pPr>
      <w:r>
        <w:t xml:space="preserve">40. База знаний включает в себя, в том числе:</w:t>
      </w:r>
    </w:p>
    <w:p>
      <w:pPr>
        <w:ind w:firstLine="709"/>
        <w:jc w:val="both"/>
      </w:pPr>
      <w:r>
        <w:t xml:space="preserve">перечень нормативных правовых актов, регламентирующих осуществление соответствующей функции;</w:t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должностные инструкции сотрудников </w:t>
      </w:r>
      <w:r>
        <w:t xml:space="preserve">департамента</w:t>
      </w:r>
      <w:r>
        <w:rPr>
          <w:highlight w:val="white"/>
        </w:rPr>
        <w:t xml:space="preserve">, осуществляющих соответствующие функции;</w:t>
      </w:r>
    </w:p>
    <w:p>
      <w:pPr>
        <w:ind w:firstLine="709"/>
        <w:jc w:val="both"/>
      </w:pPr>
      <w:r>
        <w:t xml:space="preserve">перечень часто задаваемых вопросов касательно соответствующих функций деятельности департамента в целом, с ответами на них;</w:t>
      </w:r>
    </w:p>
    <w:p>
      <w:pPr>
        <w:ind w:firstLine="709"/>
        <w:jc w:val="both"/>
      </w:pPr>
      <w:r>
        <w:rPr>
          <w:color w:val="444444"/>
        </w:rPr>
        <w:t xml:space="preserve">ш</w:t>
      </w:r>
      <w:r>
        <w:t xml:space="preserve">аблоны ответов на частые или типовые обращения и (или) запросы клиентов;</w:t>
      </w:r>
    </w:p>
    <w:p>
      <w:pPr>
        <w:ind w:firstLine="709"/>
        <w:jc w:val="both"/>
      </w:pPr>
      <w:r>
        <w:t xml:space="preserve">примеры решений управленческих и рабочих задач;</w:t>
      </w:r>
    </w:p>
    <w:p>
      <w:pPr>
        <w:ind w:firstLine="709"/>
        <w:jc w:val="both"/>
      </w:pPr>
      <w:r>
        <w:t xml:space="preserve">перечень услуг и сервисов, предоставляемых департаментом, в том числе в электронном виде;</w:t>
      </w:r>
    </w:p>
    <w:p>
      <w:pPr>
        <w:ind w:firstLine="709"/>
        <w:jc w:val="both"/>
      </w:pPr>
      <w:r>
        <w:t xml:space="preserve">график и порядок приема внешних клиентов для проведения консультаций;</w:t>
      </w:r>
    </w:p>
    <w:p>
      <w:pPr>
        <w:ind w:firstLine="709"/>
        <w:jc w:val="both"/>
      </w:pPr>
      <w:r>
        <w:t xml:space="preserve">контактные данные для получения консультации внешними клиентами.</w:t>
      </w:r>
    </w:p>
    <w:p>
      <w:pPr>
        <w:ind w:firstLine="709"/>
        <w:jc w:val="both"/>
      </w:pPr>
      <w:r>
        <w:t xml:space="preserve">41. Актуализация Базы знаний осуществляется структурными подразделениями департамента (в своей части) не реже 1 раза в </w:t>
      </w:r>
      <w:r>
        <w:t xml:space="preserve">квартал</w:t>
      </w:r>
      <w:r>
        <w:t xml:space="preserve">.</w:t>
      </w:r>
    </w:p>
    <w:p>
      <w:pPr>
        <w:ind w:firstLine="709"/>
        <w:jc w:val="both"/>
      </w:pPr>
      <w:r>
        <w:t xml:space="preserve">Актуализация Базы знаний заключается в проверке необходимости внесения изменений в Базу знаний с учетом изменения законодательства Российской Федерации и Новосибирской области, а также результатов сбора обратной связи от внешних клиентов, и, при наличии такой необходимости, внесении соответствующих изменений.</w:t>
      </w:r>
    </w:p>
    <w:p>
      <w:pPr>
        <w:ind w:firstLine="709"/>
        <w:jc w:val="both"/>
      </w:pPr>
      <w:r>
        <w:t xml:space="preserve">База знаний может быть актуализирована в любое время по инициативе структурных подразделений департамента, в том числе, в случае выявления часто задаваемых вопросов, которые отсутствуют в Базе знаний, появления однотипных обращений и запросов</w:t>
      </w:r>
      <w:r>
        <w:rPr>
          <w:color w:val="ff0000"/>
        </w:rPr>
        <w:t xml:space="preserve"> </w:t>
      </w:r>
      <w:r>
        <w:t xml:space="preserve">клиентов или новых решений управленческих и рабочих задач.».</w:t>
      </w:r>
    </w:p>
    <w:p>
      <w:pPr>
        <w:ind w:firstLine="709"/>
        <w:jc w:val="both"/>
        <w:rPr>
          <w:color w:val="000000" w:themeColor="text1"/>
          <w:highlight w:val="white"/>
        </w:rPr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Руководитель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</w:t>
      </w:r>
      <w:r>
        <w:t xml:space="preserve">  Р.Г. Шилохвостов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С.В. Калашникова</w:t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238 60 14 </w:t>
      </w:r>
    </w:p>
    <w:sectPr>
      <w:headerReference w:type="default" r:id="rId9"/>
      <w:headerReference w:type="first" r:id="rId10"/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5"/>
      <w:jc w:val="center"/>
      <w:rPr>
        <w:sz w:val="20"/>
        <w:szCs w:val="20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</w:p>
  <w:p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lang w:val="en-US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2925" cy="647700"/>
              <wp:effectExtent l="0" t="0" r="9525" b="0"/>
              <wp:docPr id="1" name="Рисунок 11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emblem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2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2.75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</w:p>
  <w:p>
    <w:pPr>
      <w:jc w:val="center"/>
      <w:rPr>
        <w:b/>
      </w:rPr>
    </w:pPr>
  </w:p>
  <w:p>
    <w:pPr>
      <w:jc w:val="center"/>
      <w:rPr>
        <w:b/>
      </w:rPr>
    </w:pPr>
    <w:r>
      <w:rPr>
        <w:b/>
      </w:rPr>
      <w:t xml:space="preserve">ДЕПАРТАМЕНТ  ИМУЩЕСТВА</w:t>
    </w:r>
    <w:r>
      <w:rPr>
        <w:b/>
      </w:rPr>
      <w:t xml:space="preserve"> </w:t>
    </w:r>
  </w:p>
  <w:p>
    <w:pPr>
      <w:jc w:val="center"/>
      <w:rPr>
        <w:b/>
      </w:rPr>
    </w:pPr>
    <w:r>
      <w:rPr>
        <w:b/>
      </w:rPr>
      <w:t xml:space="preserve">И ЗЕМЕЛЬНЫХ </w:t>
    </w:r>
    <w:r>
      <w:rPr>
        <w:b/>
      </w:rPr>
      <w:t xml:space="preserve">ОТНОШЕНИЙ  НОВОСИБИРСКОЙ</w:t>
    </w:r>
    <w:r>
      <w:rPr>
        <w:b/>
      </w:rPr>
      <w:t xml:space="preserve"> ОБЛАСТИ</w:t>
    </w:r>
  </w:p>
  <w:p>
    <w:pPr>
      <w:jc w:val="center"/>
      <w:rPr>
        <w:b/>
      </w:rPr>
    </w:pPr>
  </w:p>
  <w:p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</w:p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f9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643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af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f9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540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af9"/>
                    </w:pPr>
                  </w:p>
                </w:txbxContent>
              </v:textbox>
            </v:shape>
          </w:pict>
        </mc:Fallback>
      </mc:AlternateContent>
    </w:r>
  </w:p>
  <w:p>
    <w:pPr>
      <w:tabs>
        <w:tab w:val="right" w:pos="9922"/>
      </w:tabs>
      <w:jc w:val="center"/>
    </w:pPr>
    <w:r>
      <w:rPr>
        <w:sz w:val="24"/>
        <w:szCs w:val="24"/>
      </w:rPr>
      <w:t xml:space="preserve">_______________                                     г. Новосибирск</w:t>
    </w:r>
    <w:r>
      <w:tab/>
      <w:t xml:space="preserve">№ _________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4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f9"/>
                          </w:pPr>
                        </w:p>
                        <w:p>
                          <w:pPr>
                            <w:pStyle w:val="af9"/>
                          </w:pPr>
                        </w:p>
                        <w:p>
                          <w:pPr>
                            <w:pStyle w:val="af9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6336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af9"/>
                    </w:pPr>
                  </w:p>
                  <w:p>
                    <w:pPr>
                      <w:pStyle w:val="af9"/>
                    </w:pPr>
                  </w:p>
                  <w:p>
                    <w:pPr>
                      <w:pStyle w:val="af9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f9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6233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af9"/>
                    </w:pPr>
                  </w:p>
                </w:txbxContent>
              </v:textbox>
            </v:shape>
          </w:pict>
        </mc:Fallback>
      </mc:AlternateContent>
    </w:r>
  </w:p>
  <w:p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multiLevelType w:val="hybridMultilevel"/>
    <w:lvl w:ilvl="0" w:tplc="7D88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D279CE">
      <w:start w:val="1"/>
      <w:numFmt w:val="lowerLetter"/>
      <w:lvlText w:val="%2."/>
      <w:lvlJc w:val="left"/>
      <w:pPr>
        <w:ind w:left="1788" w:hanging="360"/>
      </w:pPr>
    </w:lvl>
    <w:lvl w:ilvl="2" w:tplc="4B3CC6A2">
      <w:start w:val="1"/>
      <w:numFmt w:val="lowerRoman"/>
      <w:lvlText w:val="%3."/>
      <w:lvlJc w:val="right"/>
      <w:pPr>
        <w:ind w:left="2508" w:hanging="180"/>
      </w:pPr>
    </w:lvl>
    <w:lvl w:ilvl="3" w:tplc="ACF26BCE">
      <w:start w:val="1"/>
      <w:numFmt w:val="decimal"/>
      <w:lvlText w:val="%4."/>
      <w:lvlJc w:val="left"/>
      <w:pPr>
        <w:ind w:left="3228" w:hanging="360"/>
      </w:pPr>
    </w:lvl>
    <w:lvl w:ilvl="4" w:tplc="52587F4A">
      <w:start w:val="1"/>
      <w:numFmt w:val="lowerLetter"/>
      <w:lvlText w:val="%5."/>
      <w:lvlJc w:val="left"/>
      <w:pPr>
        <w:ind w:left="3948" w:hanging="360"/>
      </w:pPr>
    </w:lvl>
    <w:lvl w:ilvl="5" w:tplc="DBA2902E">
      <w:start w:val="1"/>
      <w:numFmt w:val="lowerRoman"/>
      <w:lvlText w:val="%6."/>
      <w:lvlJc w:val="right"/>
      <w:pPr>
        <w:ind w:left="4668" w:hanging="180"/>
      </w:pPr>
    </w:lvl>
    <w:lvl w:ilvl="6" w:tplc="D61EEDFC">
      <w:start w:val="1"/>
      <w:numFmt w:val="decimal"/>
      <w:lvlText w:val="%7."/>
      <w:lvlJc w:val="left"/>
      <w:pPr>
        <w:ind w:left="5388" w:hanging="360"/>
      </w:pPr>
    </w:lvl>
    <w:lvl w:ilvl="7" w:tplc="766A6028">
      <w:start w:val="1"/>
      <w:numFmt w:val="lowerLetter"/>
      <w:lvlText w:val="%8."/>
      <w:lvlJc w:val="left"/>
      <w:pPr>
        <w:ind w:left="6108" w:hanging="360"/>
      </w:pPr>
    </w:lvl>
    <w:lvl w:ilvl="8" w:tplc="505C61CC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plc="0ABC1072">
      <w:start w:val="1"/>
      <w:numFmt w:val="decimal"/>
      <w:lvlText w:val="%1)"/>
      <w:lvlJc w:val="left"/>
      <w:pPr>
        <w:ind w:left="1417" w:hanging="360"/>
      </w:pPr>
    </w:lvl>
    <w:lvl w:ilvl="1" w:tplc="4CF6CD70">
      <w:start w:val="1"/>
      <w:numFmt w:val="lowerLetter"/>
      <w:lvlText w:val="%2."/>
      <w:lvlJc w:val="left"/>
      <w:pPr>
        <w:ind w:left="2137" w:hanging="360"/>
      </w:pPr>
    </w:lvl>
    <w:lvl w:ilvl="2" w:tplc="F3A0C68C">
      <w:start w:val="1"/>
      <w:numFmt w:val="lowerRoman"/>
      <w:lvlText w:val="%3."/>
      <w:lvlJc w:val="right"/>
      <w:pPr>
        <w:ind w:left="2857" w:hanging="180"/>
      </w:pPr>
    </w:lvl>
    <w:lvl w:ilvl="3" w:tplc="84BCAFFE">
      <w:start w:val="1"/>
      <w:numFmt w:val="decimal"/>
      <w:lvlText w:val="%4."/>
      <w:lvlJc w:val="left"/>
      <w:pPr>
        <w:ind w:left="3577" w:hanging="360"/>
      </w:pPr>
    </w:lvl>
    <w:lvl w:ilvl="4" w:tplc="2A6A9058">
      <w:start w:val="1"/>
      <w:numFmt w:val="lowerLetter"/>
      <w:lvlText w:val="%5."/>
      <w:lvlJc w:val="left"/>
      <w:pPr>
        <w:ind w:left="4297" w:hanging="360"/>
      </w:pPr>
    </w:lvl>
    <w:lvl w:ilvl="5" w:tplc="21D40502">
      <w:start w:val="1"/>
      <w:numFmt w:val="lowerRoman"/>
      <w:lvlText w:val="%6."/>
      <w:lvlJc w:val="right"/>
      <w:pPr>
        <w:ind w:left="5017" w:hanging="180"/>
      </w:pPr>
    </w:lvl>
    <w:lvl w:ilvl="6" w:tplc="60D4058C">
      <w:start w:val="1"/>
      <w:numFmt w:val="decimal"/>
      <w:lvlText w:val="%7."/>
      <w:lvlJc w:val="left"/>
      <w:pPr>
        <w:ind w:left="5737" w:hanging="360"/>
      </w:pPr>
    </w:lvl>
    <w:lvl w:ilvl="7" w:tplc="435481B8">
      <w:start w:val="1"/>
      <w:numFmt w:val="lowerLetter"/>
      <w:lvlText w:val="%8."/>
      <w:lvlJc w:val="left"/>
      <w:pPr>
        <w:ind w:left="6457" w:hanging="360"/>
      </w:pPr>
    </w:lvl>
    <w:lvl w:ilvl="8" w:tplc="DD082CBE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 w:tplc="75107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7D2752E">
      <w:start w:val="1"/>
      <w:numFmt w:val="lowerLetter"/>
      <w:lvlText w:val="%2."/>
      <w:lvlJc w:val="left"/>
      <w:pPr>
        <w:ind w:left="1785" w:hanging="360"/>
      </w:pPr>
    </w:lvl>
    <w:lvl w:ilvl="2" w:tplc="EEB42F26">
      <w:start w:val="1"/>
      <w:numFmt w:val="lowerRoman"/>
      <w:lvlText w:val="%3."/>
      <w:lvlJc w:val="right"/>
      <w:pPr>
        <w:ind w:left="2505" w:hanging="180"/>
      </w:pPr>
    </w:lvl>
    <w:lvl w:ilvl="3" w:tplc="277888AA">
      <w:start w:val="1"/>
      <w:numFmt w:val="decimal"/>
      <w:lvlText w:val="%4."/>
      <w:lvlJc w:val="left"/>
      <w:pPr>
        <w:ind w:left="3225" w:hanging="360"/>
      </w:pPr>
    </w:lvl>
    <w:lvl w:ilvl="4" w:tplc="68226580">
      <w:start w:val="1"/>
      <w:numFmt w:val="lowerLetter"/>
      <w:lvlText w:val="%5."/>
      <w:lvlJc w:val="left"/>
      <w:pPr>
        <w:ind w:left="3945" w:hanging="360"/>
      </w:pPr>
    </w:lvl>
    <w:lvl w:ilvl="5" w:tplc="3AA2DE48">
      <w:start w:val="1"/>
      <w:numFmt w:val="lowerRoman"/>
      <w:lvlText w:val="%6."/>
      <w:lvlJc w:val="right"/>
      <w:pPr>
        <w:ind w:left="4665" w:hanging="180"/>
      </w:pPr>
    </w:lvl>
    <w:lvl w:ilvl="6" w:tplc="21CE47CC">
      <w:start w:val="1"/>
      <w:numFmt w:val="decimal"/>
      <w:lvlText w:val="%7."/>
      <w:lvlJc w:val="left"/>
      <w:pPr>
        <w:ind w:left="5385" w:hanging="360"/>
      </w:pPr>
    </w:lvl>
    <w:lvl w:ilvl="7" w:tplc="F3FCC112">
      <w:start w:val="1"/>
      <w:numFmt w:val="lowerLetter"/>
      <w:lvlText w:val="%8."/>
      <w:lvlJc w:val="left"/>
      <w:pPr>
        <w:ind w:left="6105" w:hanging="360"/>
      </w:pPr>
    </w:lvl>
    <w:lvl w:ilvl="8" w:tplc="87AAF67A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ind w:left="5812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styleId="af6" w:customStyle="1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styleId="af8" w:customStyle="1">
    <w:name w:val="Нижний колонтитул Знак"/>
    <w:basedOn w:val="a0"/>
    <w:link w:val="af7"/>
    <w:uiPriority w:val="99"/>
  </w:style>
  <w:style w:type="paragraph" w:styleId="af9" w:customStyle="1">
    <w:name w:val="Титул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pPr>
      <w:ind w:left="360"/>
      <w:jc w:val="both"/>
    </w:pPr>
  </w:style>
  <w:style w:type="character" w:styleId="26" w:customStyle="1">
    <w:name w:val="Основной текст с отступом 2 Знак"/>
    <w:basedOn w:val="a0"/>
    <w:link w:val="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cardmaininfocontent" w:customStyle="1">
    <w:name w:val="cardmaininfo__content"/>
    <w:basedOn w:val="a0"/>
  </w:style>
  <w:style w:type="character" w:styleId="gwt-inlinelabel" w:customStyle="1">
    <w:name w:val="gwt-inlinelabel"/>
    <w:basedOn w:val="a0"/>
  </w:style>
  <w:style w:type="paragraph" w:styleId="13" w:customStyle="1">
    <w:name w:val="Основной текст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styleId="aff1" w:customStyle="1">
    <w:name w:val="Текст примечания Знак"/>
    <w:basedOn w:val="a0"/>
    <w:link w:val="aff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styleId="aff3" w:customStyle="1">
    <w:name w:val="Тема примечания Знак"/>
    <w:basedOn w:val="aff1"/>
    <w:link w:val="aff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1FF4-B4D2-4F0D-A436-5FF49E90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7838</Characters>
  <CharactersWithSpaces>9194</CharactersWithSpaces>
  <Company>PNO</Company>
  <DocSecurity>0</DocSecurity>
  <HyperlinksChanged>false</HyperlinksChanged>
  <Lines>65</Lines>
  <LinksUpToDate>false</LinksUpToDate>
  <Pages>1</Pages>
  <Paragraphs>18</Paragraphs>
  <ScaleCrop>false</ScaleCrop>
  <SharedDoc>false</SharedDoc>
  <Template>Normal</Template>
  <TotalTime>0</TotalTime>
  <Words>1374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lastModifiedBy>Калашникова Светлана Валерьевна</cp:lastModifiedBy>
  <cp:revision>2</cp:revision>
  <dcterms:created xsi:type="dcterms:W3CDTF">2024-10-09T01:01:00Z</dcterms:created>
  <dcterms:modified xsi:type="dcterms:W3CDTF">2024-10-09T01:01:00Z</dcterms:modified>
</cp:coreProperties>
</file>