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Правительства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  <w:t xml:space="preserve">от 01.07.2014 № 261-п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rFonts w:eastAsiaTheme="minorHAnsi"/>
          <w:sz w:val="28"/>
          <w:szCs w:val="28"/>
          <w:lang w:eastAsia="en-US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 Внести в постановление Правительства Новосибирской области от 01.07.2014 № 261-п «Об определении размера предельной стоимости услуг и (или) работ по капитальному ремонту общего имущества в многоквартирном доме» следующие изменения: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1) Дополнить пунктом 4.1 следующего содержания: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«4.1. Предельная стоимость </w:t>
      </w:r>
      <w:r>
        <w:rPr>
          <w:sz w:val="28"/>
          <w:szCs w:val="28"/>
          <w:highlight w:val="none"/>
        </w:rPr>
        <w:t xml:space="preserve">услуг и (или) работ по</w:t>
      </w:r>
      <w:r>
        <w:rPr>
          <w:sz w:val="28"/>
          <w:szCs w:val="28"/>
          <w:highlight w:val="none"/>
        </w:rPr>
        <w:t xml:space="preserve"> обследованию технического состояния </w:t>
      </w:r>
      <w:r>
        <w:rPr>
          <w:sz w:val="28"/>
          <w:szCs w:val="28"/>
          <w:highlight w:val="none"/>
        </w:rPr>
        <w:t xml:space="preserve">многоквартирного дома</w:t>
      </w:r>
      <w:r>
        <w:rPr>
          <w:sz w:val="28"/>
          <w:szCs w:val="28"/>
          <w:highlight w:val="none"/>
        </w:rPr>
        <w:t xml:space="preserve"> рассчитывается </w:t>
      </w:r>
      <w:r>
        <w:rPr>
          <w:sz w:val="28"/>
          <w:szCs w:val="28"/>
          <w:highlight w:val="none"/>
        </w:rPr>
        <w:t xml:space="preserve">в соответствии с государственным сметным нормативом «Справочник базовых цен на обмерные работы и обследования зданий и сооружений» СБЦ 81-2001-25, 2016 (далее СБЦ) и определяется по формулам: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28"/>
          <w:szCs w:val="28"/>
        </w:rPr>
      </w:pP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обслед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= (</w:t>
      </w: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констр</w:t>
      </w:r>
      <w:r>
        <w:rPr>
          <w:sz w:val="20"/>
          <w:szCs w:val="20"/>
        </w:rPr>
        <w:t xml:space="preserve">  </w:t>
      </w:r>
      <w:r>
        <w:rPr>
          <w:sz w:val="32"/>
          <w:szCs w:val="32"/>
        </w:rPr>
        <w:t xml:space="preserve">+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инж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+ 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эс</w:t>
      </w:r>
      <w:r>
        <w:rPr>
          <w:sz w:val="20"/>
          <w:szCs w:val="20"/>
        </w:rPr>
        <w:t xml:space="preserve">) *</w:t>
      </w:r>
      <w:r>
        <w:rPr>
          <w:sz w:val="32"/>
          <w:szCs w:val="32"/>
        </w:rPr>
        <w:t xml:space="preserve">НДС</w:t>
      </w:r>
      <w:r>
        <w:rPr>
          <w:sz w:val="28"/>
          <w:szCs w:val="28"/>
        </w:rPr>
        <w:t xml:space="preserve">;</w:t>
      </w:r>
      <w:r>
        <w:rPr>
          <w:sz w:val="32"/>
          <w:szCs w:val="32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28"/>
          <w:szCs w:val="28"/>
        </w:rPr>
      </w:r>
      <w:r>
        <w:rPr>
          <w:sz w:val="32"/>
          <w:szCs w:val="32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32"/>
          <w:szCs w:val="32"/>
        </w:rPr>
      </w:pP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констр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= </w:t>
      </w:r>
      <w:r>
        <w:rPr>
          <w:sz w:val="32"/>
          <w:szCs w:val="32"/>
          <w:lang w:val="en-US"/>
        </w:rPr>
        <w:t xml:space="preserve">V</w:t>
      </w:r>
      <w:r>
        <w:rPr>
          <w:sz w:val="20"/>
          <w:szCs w:val="20"/>
        </w:rPr>
        <w:t xml:space="preserve">зд</w:t>
      </w:r>
      <w:r>
        <w:rPr>
          <w:sz w:val="32"/>
          <w:szCs w:val="32"/>
        </w:rPr>
        <w:t xml:space="preserve">/100 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1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* К</w:t>
      </w:r>
      <w:r>
        <w:rPr>
          <w:sz w:val="20"/>
          <w:szCs w:val="20"/>
        </w:rPr>
        <w:t xml:space="preserve">6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* К</w:t>
      </w:r>
      <w:r>
        <w:rPr>
          <w:sz w:val="20"/>
          <w:szCs w:val="20"/>
        </w:rPr>
        <w:t xml:space="preserve">7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* К</w:t>
      </w:r>
      <w:r>
        <w:rPr>
          <w:sz w:val="20"/>
          <w:szCs w:val="20"/>
        </w:rPr>
        <w:t xml:space="preserve">8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9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10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32"/>
          <w:szCs w:val="32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32"/>
          <w:szCs w:val="32"/>
        </w:rPr>
      </w:pPr>
      <w:r>
        <w:rPr>
          <w:sz w:val="32"/>
          <w:szCs w:val="32"/>
        </w:rPr>
      </w:r>
      <w:r>
        <w:rPr>
          <w:sz w:val="28"/>
          <w:szCs w:val="28"/>
        </w:rPr>
      </w:r>
      <w:r>
        <w:rPr>
          <w:sz w:val="32"/>
          <w:szCs w:val="32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22"/>
          <w:szCs w:val="22"/>
        </w:rPr>
      </w:pP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инж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=</w:t>
      </w:r>
      <w:r>
        <w:rPr>
          <w:sz w:val="32"/>
          <w:szCs w:val="32"/>
        </w:rPr>
        <w:t xml:space="preserve"> ∑</w:t>
      </w:r>
      <w:r>
        <w:rPr>
          <w:rFonts w:eastAsia="SimHei"/>
          <w:sz w:val="32"/>
          <w:szCs w:val="32"/>
        </w:rPr>
        <w:t xml:space="preserve"> (</w:t>
      </w:r>
      <w:r>
        <w:rPr>
          <w:sz w:val="32"/>
          <w:szCs w:val="32"/>
        </w:rPr>
        <w:t xml:space="preserve">К</w:t>
      </w:r>
      <w:r>
        <w:rPr>
          <w:sz w:val="20"/>
          <w:szCs w:val="20"/>
        </w:rPr>
        <w:t xml:space="preserve">2 +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3 +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4) </w:t>
      </w:r>
      <w:r>
        <w:rPr>
          <w:sz w:val="32"/>
          <w:szCs w:val="32"/>
        </w:rPr>
        <w:t xml:space="preserve">* </w:t>
      </w:r>
      <w:r>
        <w:rPr>
          <w:sz w:val="32"/>
          <w:szCs w:val="32"/>
        </w:rPr>
        <w:t xml:space="preserve">К</w:t>
      </w:r>
      <w:r>
        <w:rPr>
          <w:sz w:val="20"/>
          <w:szCs w:val="20"/>
        </w:rPr>
        <w:t xml:space="preserve">7 </w:t>
      </w:r>
      <w:r>
        <w:rPr>
          <w:sz w:val="32"/>
          <w:szCs w:val="32"/>
        </w:rPr>
        <w:t xml:space="preserve">* К</w:t>
      </w:r>
      <w:r>
        <w:rPr>
          <w:sz w:val="20"/>
          <w:szCs w:val="20"/>
        </w:rPr>
        <w:t xml:space="preserve">8 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9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10</w:t>
      </w:r>
      <w:r>
        <w:rPr>
          <w:sz w:val="28"/>
          <w:szCs w:val="28"/>
        </w:rPr>
        <w:t xml:space="preserve">;  </w:t>
      </w:r>
      <w:r>
        <w:rPr>
          <w:sz w:val="28"/>
          <w:szCs w:val="28"/>
        </w:rPr>
      </w:r>
      <w:r>
        <w:rPr>
          <w:sz w:val="20"/>
          <w:szCs w:val="20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32"/>
          <w:szCs w:val="32"/>
        </w:rPr>
      </w:pPr>
      <w:r>
        <w:rPr>
          <w:sz w:val="20"/>
          <w:szCs w:val="20"/>
        </w:rPr>
      </w:r>
      <w:r>
        <w:rPr>
          <w:sz w:val="28"/>
          <w:szCs w:val="28"/>
        </w:rPr>
      </w:r>
      <w:r>
        <w:rPr>
          <w:sz w:val="32"/>
          <w:szCs w:val="32"/>
        </w:rPr>
      </w:r>
    </w:p>
    <w:p>
      <w:pPr>
        <w:contextualSpacing/>
        <w:ind w:firstLine="709"/>
        <w:jc w:val="center"/>
        <w:tabs>
          <w:tab w:val="left" w:pos="709" w:leader="none"/>
        </w:tabs>
        <w:rPr>
          <w:sz w:val="36"/>
          <w:szCs w:val="36"/>
        </w:rPr>
      </w:pPr>
      <w:r>
        <w:rPr>
          <w:sz w:val="32"/>
          <w:szCs w:val="32"/>
        </w:rPr>
        <w:t xml:space="preserve">Ц</w:t>
      </w:r>
      <w:r>
        <w:rPr>
          <w:sz w:val="20"/>
          <w:szCs w:val="20"/>
        </w:rPr>
        <w:t xml:space="preserve">эс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=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 xml:space="preserve">S</w:t>
      </w:r>
      <w:r>
        <w:rPr>
          <w:sz w:val="20"/>
          <w:szCs w:val="20"/>
        </w:rPr>
        <w:t xml:space="preserve">зд</w:t>
      </w:r>
      <w:r>
        <w:rPr>
          <w:sz w:val="32"/>
          <w:szCs w:val="32"/>
        </w:rPr>
        <w:t xml:space="preserve">/100</w:t>
      </w:r>
      <w:r>
        <w:rPr>
          <w:sz w:val="32"/>
          <w:szCs w:val="32"/>
        </w:rPr>
        <w:t xml:space="preserve">0*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5 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К</w:t>
      </w:r>
      <w:r>
        <w:rPr>
          <w:sz w:val="20"/>
          <w:szCs w:val="20"/>
        </w:rPr>
        <w:t xml:space="preserve">7 </w:t>
      </w:r>
      <w:r>
        <w:rPr>
          <w:sz w:val="32"/>
          <w:szCs w:val="32"/>
        </w:rPr>
        <w:t xml:space="preserve">* К</w:t>
      </w:r>
      <w:r>
        <w:rPr>
          <w:sz w:val="20"/>
          <w:szCs w:val="20"/>
        </w:rPr>
        <w:t xml:space="preserve">8 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9</w:t>
      </w:r>
      <w:r>
        <w:rPr>
          <w:sz w:val="32"/>
          <w:szCs w:val="32"/>
        </w:rPr>
        <w:t xml:space="preserve">*</w:t>
      </w:r>
      <w:r>
        <w:rPr>
          <w:sz w:val="32"/>
          <w:szCs w:val="32"/>
        </w:rPr>
        <w:t xml:space="preserve"> К</w:t>
      </w:r>
      <w:r>
        <w:rPr>
          <w:sz w:val="20"/>
          <w:szCs w:val="20"/>
        </w:rPr>
        <w:t xml:space="preserve">10</w:t>
      </w:r>
      <w:r>
        <w:rPr>
          <w:sz w:val="28"/>
          <w:szCs w:val="28"/>
        </w:rPr>
        <w:t xml:space="preserve">.</w:t>
      </w:r>
      <w:r>
        <w:rPr>
          <w:sz w:val="20"/>
          <w:szCs w:val="20"/>
        </w:rPr>
        <w:t xml:space="preserve"> 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де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обслед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стоимость на выполнение обследований строительных конструкций зданий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систем инженерного обеспечения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конст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стоимость на выполнение обследований строительных конструкций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инж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стоимость на выполнение обследований систем инженерного обеспечения</w:t>
      </w:r>
      <w:r>
        <w:rPr>
          <w:sz w:val="28"/>
          <w:szCs w:val="28"/>
        </w:rPr>
        <w:t xml:space="preserve"> (систем ТС, ГВС, ХВС ВО)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Ц</w:t>
      </w:r>
      <w:r>
        <w:rPr>
          <w:sz w:val="28"/>
          <w:szCs w:val="28"/>
        </w:rPr>
        <w:t xml:space="preserve">эс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стоимость на выполнение обследований систем инженерного обеспечения</w:t>
      </w:r>
      <w:r>
        <w:rPr>
          <w:sz w:val="28"/>
          <w:szCs w:val="28"/>
        </w:rPr>
        <w:t xml:space="preserve"> (системы ЭС)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  <w:lang w:val="en-US"/>
        </w:rPr>
        <w:t xml:space="preserve">V</w:t>
      </w:r>
      <w:r>
        <w:rPr>
          <w:sz w:val="28"/>
          <w:szCs w:val="28"/>
        </w:rPr>
        <w:t xml:space="preserve">зд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строительный объем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  <w:lang w:val="en-US"/>
        </w:rPr>
        <w:t xml:space="preserve">S</w:t>
      </w:r>
      <w:r>
        <w:rPr>
          <w:sz w:val="28"/>
          <w:szCs w:val="28"/>
        </w:rPr>
        <w:t xml:space="preserve">зд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площадь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базовая цена на выполнение инженерных обследований строительных конструкций многоэтажных зданий (табл. 4</w:t>
      </w:r>
      <w:r>
        <w:rPr>
          <w:sz w:val="28"/>
          <w:szCs w:val="28"/>
        </w:rPr>
        <w:t xml:space="preserve"> СБЦ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 определяется в зависимости от высоты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базовая цена на </w:t>
      </w:r>
      <w:r>
        <w:rPr>
          <w:sz w:val="28"/>
          <w:szCs w:val="28"/>
        </w:rPr>
        <w:t xml:space="preserve">выполнение работ по обследованию систем инженерного обеспечения здания (система ГВС) </w:t>
      </w:r>
      <w:r>
        <w:rPr>
          <w:sz w:val="28"/>
          <w:szCs w:val="28"/>
        </w:rPr>
        <w:t xml:space="preserve">(табл. </w:t>
      </w:r>
      <w:r>
        <w:rPr>
          <w:sz w:val="28"/>
          <w:szCs w:val="28"/>
        </w:rPr>
        <w:t xml:space="preserve">15, п.1 СБЦ</w:t>
      </w:r>
      <w:r>
        <w:rPr>
          <w:sz w:val="28"/>
          <w:szCs w:val="28"/>
        </w:rPr>
        <w:t xml:space="preserve">) определяется в зависимости от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базовая цена на </w:t>
      </w:r>
      <w:r>
        <w:rPr>
          <w:sz w:val="28"/>
          <w:szCs w:val="28"/>
        </w:rPr>
        <w:t xml:space="preserve">выполнение работ по обследованию систем инженерного обеспечения здания (система ТС) </w:t>
      </w:r>
      <w:r>
        <w:rPr>
          <w:sz w:val="28"/>
          <w:szCs w:val="28"/>
        </w:rPr>
        <w:t xml:space="preserve">(табл. </w:t>
      </w:r>
      <w:r>
        <w:rPr>
          <w:sz w:val="28"/>
          <w:szCs w:val="28"/>
        </w:rPr>
        <w:t xml:space="preserve">15, п.2 СБЦ</w:t>
      </w:r>
      <w:r>
        <w:rPr>
          <w:sz w:val="28"/>
          <w:szCs w:val="28"/>
        </w:rPr>
        <w:t xml:space="preserve">) определяется в зависимости от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4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базовая цена на </w:t>
      </w:r>
      <w:r>
        <w:rPr>
          <w:sz w:val="28"/>
          <w:szCs w:val="28"/>
        </w:rPr>
        <w:t xml:space="preserve">выполнение работ по обследованию систем инженерного обеспечения здания (система ХВС и ВО) </w:t>
      </w:r>
      <w:r>
        <w:rPr>
          <w:sz w:val="28"/>
          <w:szCs w:val="28"/>
        </w:rPr>
        <w:t xml:space="preserve">(табл. </w:t>
      </w:r>
      <w:r>
        <w:rPr>
          <w:sz w:val="28"/>
          <w:szCs w:val="28"/>
        </w:rPr>
        <w:t xml:space="preserve">15, п.3 СБЦ</w:t>
      </w:r>
      <w:r>
        <w:rPr>
          <w:sz w:val="28"/>
          <w:szCs w:val="28"/>
        </w:rPr>
        <w:t xml:space="preserve">) определяется в зависимости от </w:t>
      </w:r>
      <w:r>
        <w:rPr>
          <w:sz w:val="28"/>
          <w:szCs w:val="28"/>
        </w:rPr>
        <w:t xml:space="preserve">объема</w:t>
      </w:r>
      <w:r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базовая цена на </w:t>
      </w:r>
      <w:r>
        <w:rPr>
          <w:sz w:val="28"/>
          <w:szCs w:val="28"/>
        </w:rPr>
        <w:t xml:space="preserve">выполнение работ по обследованию систем инженерного обеспечения здания (система ЭС) </w:t>
      </w:r>
      <w:r>
        <w:rPr>
          <w:sz w:val="28"/>
          <w:szCs w:val="28"/>
        </w:rPr>
        <w:t xml:space="preserve">(табл. </w:t>
      </w:r>
      <w:r>
        <w:rPr>
          <w:sz w:val="28"/>
          <w:szCs w:val="28"/>
        </w:rPr>
        <w:t xml:space="preserve">15, п.8 СБЦ</w:t>
      </w:r>
      <w:r>
        <w:rPr>
          <w:sz w:val="28"/>
          <w:szCs w:val="28"/>
        </w:rPr>
        <w:t xml:space="preserve">) определяется в зависимости от </w:t>
      </w:r>
      <w:r>
        <w:rPr>
          <w:sz w:val="28"/>
          <w:szCs w:val="28"/>
        </w:rPr>
        <w:t xml:space="preserve">площади</w:t>
      </w:r>
      <w:r>
        <w:rPr>
          <w:sz w:val="28"/>
          <w:szCs w:val="28"/>
        </w:rPr>
        <w:t xml:space="preserve"> здания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6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процентное соотношение отдельных видов обследовательских работ (табл. 9 СБЦ);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– </w:t>
      </w:r>
      <w:r/>
      <w:r>
        <w:rPr>
          <w:sz w:val="28"/>
          <w:szCs w:val="28"/>
        </w:rPr>
      </w:r>
      <w:r>
        <w:rPr>
          <w:sz w:val="28"/>
          <w:szCs w:val="28"/>
        </w:rPr>
        <w:t xml:space="preserve">корректирующий коэффициент, учитывающий строительный объем здания (табл. 11 СБЦ);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базовая цена преддоговорных работ (п. 2.1.14 СБЦ);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6"/>
          <w:szCs w:val="36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индекс изменения сметной стоимости (письмо Минстроя РФ);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10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понижающий коэффициент</w:t>
      </w:r>
      <w:r>
        <w:rPr>
          <w:sz w:val="28"/>
          <w:szCs w:val="28"/>
        </w:rPr>
        <w:t xml:space="preserve"> (п. 2.1.1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СБЦ).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2) 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приложение № 7 «Размеры предельной стоимости услуг и (или) работ по капитальному ремонту общего имущества в многоквартирных домах, которые могут оплачиваться региональным оператором за счет фонда капитального ремонта, сформированного исходя из минимального</w:t>
      </w:r>
      <w:r>
        <w:rPr>
          <w:sz w:val="28"/>
          <w:szCs w:val="28"/>
          <w:highlight w:val="none"/>
        </w:rPr>
        <w:t xml:space="preserve"> размера взноса на капитальный ремонт общего имущества в многоквартирном доме, с учетом их типа и этажности на 2023 - 2025 годы» </w:t>
      </w: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  <w:t xml:space="preserve"> изложить в редакции согласно приложению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2. Установить, что действие приложения к настоящему постановлению распространяется на многоквартирные дома, предельный срок капитального ремонта общего имущества в которых запланирован на 2025 год, согласно краткосрочному (сроком на три года)</w:t>
      </w:r>
      <w:r>
        <w:rPr>
          <w:sz w:val="28"/>
          <w:szCs w:val="28"/>
          <w:highlight w:val="none"/>
        </w:rPr>
        <w:t xml:space="preserve"> план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2023 - 2025 годы</w:t>
      </w:r>
      <w:r>
        <w:rPr>
          <w:sz w:val="28"/>
          <w:szCs w:val="28"/>
          <w:highlight w:val="none"/>
        </w:rPr>
        <w:t xml:space="preserve">, утвержденному постановлением </w:t>
      </w:r>
      <w:r>
        <w:rPr>
          <w:sz w:val="28"/>
          <w:szCs w:val="28"/>
          <w:highlight w:val="none"/>
        </w:rPr>
        <w:t xml:space="preserve">Правительства Новосибирской области от 19.07.2022 № 331-п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Об утверждении краткосрочного (сроком на три года) плана реализации региональной программы капитального ремонта общего имущества в многоквартирных домах, расположенных на территории Новосибирской области, на 2023 - 2025 годы</w:t>
      </w:r>
      <w:r>
        <w:rPr>
          <w:sz w:val="28"/>
          <w:szCs w:val="28"/>
          <w:highlight w:val="none"/>
        </w:rPr>
        <w:t xml:space="preserve">».</w:t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before="0" w:after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spacing w:before="0" w:after="0"/>
        <w:rPr>
          <w:sz w:val="20"/>
          <w:szCs w:val="20"/>
          <w:highlight w:val="none"/>
        </w:rPr>
      </w:pPr>
      <w:r>
        <w:rPr>
          <w:sz w:val="20"/>
        </w:rPr>
        <w:t xml:space="preserve">Е.Г. Назаров</w:t>
      </w:r>
      <w:r>
        <w:rPr>
          <w:sz w:val="20"/>
          <w:szCs w:val="20"/>
          <w:highlight w:val="none"/>
        </w:rPr>
      </w:r>
    </w:p>
    <w:p>
      <w:pPr>
        <w:spacing w:before="0" w:after="0"/>
        <w:rPr>
          <w:sz w:val="20"/>
          <w:szCs w:val="20"/>
        </w:rPr>
      </w:pPr>
      <w:r>
        <w:rPr>
          <w:sz w:val="20"/>
          <w:highlight w:val="none"/>
        </w:rPr>
        <w:t xml:space="preserve">238 76 09</w:t>
      </w:r>
      <w:r>
        <w:rPr>
          <w:sz w:val="20"/>
          <w:highlight w:val="none"/>
        </w:rPr>
      </w: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320"/>
      </w:tblGrid>
      <w:tr>
        <w:tblPrEx/>
        <w:trPr>
          <w:trHeight w:val="14175"/>
        </w:trPr>
        <w:tc>
          <w:tcPr>
            <w:tcW w:w="10320" w:type="dxa"/>
            <w:textDirection w:val="lrTb"/>
            <w:noWrap w:val="false"/>
          </w:tcPr>
          <w:tbl>
            <w:tblPr>
              <w:tblW w:w="9957" w:type="dxa"/>
              <w:tblInd w:w="34" w:type="dxa"/>
              <w:tblLayout w:type="fixed"/>
              <w:tblLook w:val="0000" w:firstRow="0" w:lastRow="0" w:firstColumn="0" w:lastColumn="0" w:noHBand="0" w:noVBand="0"/>
            </w:tblPr>
            <w:tblGrid>
              <w:gridCol w:w="5416"/>
              <w:gridCol w:w="344"/>
              <w:gridCol w:w="4197"/>
            </w:tblGrid>
            <w:tr>
              <w:tblPrEx/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СОГЛАСОВАНО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558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Первый заместитель Председателя Правительства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В.М. </w:t>
                  </w:r>
                  <w:r>
                    <w:rPr>
                      <w:sz w:val="28"/>
                    </w:rPr>
                    <w:t xml:space="preserve">Знатков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Заместитель Губернатора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  <w:szCs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       С.Н. </w:t>
                  </w:r>
                  <w:r>
                    <w:rPr>
                      <w:sz w:val="28"/>
                      <w:szCs w:val="28"/>
                    </w:rPr>
                    <w:t xml:space="preserve">Сёмка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vAlign w:val="bottom"/>
                  <w:textDirection w:val="lrTb"/>
                  <w:noWrap w:val="false"/>
                </w:tcPr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Министр юстиции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spacing w:before="0"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vAlign w:val="bottom"/>
                  <w:textDirection w:val="lrTb"/>
                  <w:noWrap w:val="false"/>
                </w:tcPr>
                <w:p>
                  <w:pPr>
                    <w:ind w:right="-2943" w:firstLine="7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  <w:szCs w:val="28"/>
                    </w:rPr>
                    <w:t xml:space="preserve">Т.Н. </w:t>
                  </w:r>
                  <w:r>
                    <w:rPr>
                      <w:sz w:val="28"/>
                      <w:szCs w:val="28"/>
                    </w:rPr>
                    <w:t xml:space="preserve">Деркач</w:t>
                  </w:r>
                  <w:r>
                    <w:rPr>
                      <w:sz w:val="28"/>
                    </w:rPr>
                  </w:r>
                  <w:r>
                    <w:rPr>
                      <w:sz w:val="28"/>
                    </w:rPr>
                  </w:r>
                </w:p>
              </w:tc>
            </w:tr>
            <w:tr>
              <w:tblPrEx/>
              <w:trPr>
                <w:trHeight w:val="1360"/>
              </w:trPr>
              <w:tc>
                <w:tcPr>
                  <w:tcW w:w="5416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министра жилищно-коммунального хозяйства и энергетики Новосибирской области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34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197" w:type="dxa"/>
                  <w:vAlign w:val="bottom"/>
                  <w:textDirection w:val="lrTb"/>
                  <w:noWrap w:val="false"/>
                </w:tcPr>
                <w:p>
                  <w:pPr>
                    <w:ind w:firstLine="540"/>
                    <w:jc w:val="right"/>
                    <w:keepNext/>
                    <w:rPr>
                      <w:sz w:val="28"/>
                    </w:rPr>
                    <w:outlineLvl w:val="0"/>
                  </w:pPr>
                  <w:r>
                    <w:rPr>
                      <w:sz w:val="28"/>
                    </w:rPr>
                    <w:t xml:space="preserve">Е.Г. Назаров</w:t>
                  </w:r>
                  <w:r>
                    <w:rPr>
                      <w:sz w:val="28"/>
                    </w:rPr>
                  </w:r>
                </w:p>
              </w:tc>
            </w:tr>
          </w:tbl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И.А. Крюкля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238 76 48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spacing w:before="0" w:after="0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00506000000020000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1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29" w:hanging="1020"/>
      </w:pPr>
      <w:rPr>
        <w:rFonts w:hint="default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en-US"/>
      </w:rPr>
    </w:rPrDefault>
    <w:pPrDefault>
      <w:pPr>
        <w:ind w:left="0" w:right="0" w:firstLine="360"/>
        <w:spacing w:before="0" w:beforeAutospacing="0" w:after="240" w:afterAutospacing="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 w:default="1">
    <w:name w:val="Normal"/>
    <w:qFormat/>
    <w:pPr>
      <w:ind w:firstLine="0"/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681">
    <w:name w:val="Heading 1"/>
    <w:basedOn w:val="680"/>
    <w:next w:val="680"/>
    <w:link w:val="853"/>
    <w:uiPriority w:val="9"/>
    <w:qFormat/>
    <w:pPr>
      <w:spacing w:before="600" w:after="0" w:line="360" w:lineRule="auto"/>
      <w:outlineLvl w:val="0"/>
    </w:pPr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paragraph" w:styleId="682">
    <w:name w:val="Heading 2"/>
    <w:basedOn w:val="680"/>
    <w:next w:val="680"/>
    <w:link w:val="854"/>
    <w:uiPriority w:val="9"/>
    <w:semiHidden/>
    <w:unhideWhenUsed/>
    <w:qFormat/>
    <w:pPr>
      <w:spacing w:before="320" w:after="0" w:line="360" w:lineRule="auto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683">
    <w:name w:val="Heading 3"/>
    <w:basedOn w:val="680"/>
    <w:next w:val="680"/>
    <w:link w:val="855"/>
    <w:uiPriority w:val="9"/>
    <w:semiHidden/>
    <w:unhideWhenUsed/>
    <w:qFormat/>
    <w:pPr>
      <w:spacing w:before="320" w:after="0" w:line="360" w:lineRule="auto"/>
      <w:outlineLvl w:val="2"/>
    </w:pPr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paragraph" w:styleId="684">
    <w:name w:val="Heading 4"/>
    <w:basedOn w:val="680"/>
    <w:next w:val="680"/>
    <w:link w:val="856"/>
    <w:uiPriority w:val="9"/>
    <w:semiHidden/>
    <w:unhideWhenUsed/>
    <w:qFormat/>
    <w:pPr>
      <w:spacing w:before="280" w:after="0" w:line="360" w:lineRule="auto"/>
      <w:outlineLvl w:val="3"/>
    </w:pPr>
    <w:rPr>
      <w:rFonts w:asciiTheme="majorHAnsi" w:hAnsiTheme="majorHAnsi" w:eastAsiaTheme="majorEastAsia" w:cstheme="majorBidi"/>
      <w:b/>
      <w:bCs/>
      <w:i/>
      <w:iCs/>
      <w:szCs w:val="24"/>
    </w:rPr>
  </w:style>
  <w:style w:type="paragraph" w:styleId="685">
    <w:name w:val="Heading 5"/>
    <w:basedOn w:val="680"/>
    <w:next w:val="680"/>
    <w:link w:val="857"/>
    <w:uiPriority w:val="9"/>
    <w:semiHidden/>
    <w:unhideWhenUsed/>
    <w:qFormat/>
    <w:pPr>
      <w:spacing w:before="280" w:after="0" w:line="360" w:lineRule="auto"/>
      <w:outlineLvl w:val="4"/>
    </w:pPr>
    <w:rPr>
      <w:rFonts w:asciiTheme="majorHAnsi" w:hAnsiTheme="majorHAnsi" w:eastAsiaTheme="majorEastAsia" w:cstheme="majorBidi"/>
      <w:b/>
      <w:bCs/>
      <w:i/>
      <w:iCs/>
    </w:rPr>
  </w:style>
  <w:style w:type="paragraph" w:styleId="686">
    <w:name w:val="Heading 6"/>
    <w:basedOn w:val="680"/>
    <w:next w:val="680"/>
    <w:link w:val="858"/>
    <w:uiPriority w:val="9"/>
    <w:semiHidden/>
    <w:unhideWhenUsed/>
    <w:qFormat/>
    <w:pPr>
      <w:spacing w:before="280" w:after="80" w:line="360" w:lineRule="auto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687">
    <w:name w:val="Heading 7"/>
    <w:basedOn w:val="680"/>
    <w:next w:val="680"/>
    <w:link w:val="859"/>
    <w:uiPriority w:val="9"/>
    <w:semiHidden/>
    <w:unhideWhenUsed/>
    <w:qFormat/>
    <w:pPr>
      <w:spacing w:before="280" w:after="0" w:line="360" w:lineRule="auto"/>
      <w:outlineLvl w:val="6"/>
    </w:pPr>
    <w:rPr>
      <w:rFonts w:asciiTheme="majorHAnsi" w:hAnsiTheme="majorHAnsi" w:eastAsiaTheme="majorEastAsia" w:cstheme="majorBidi"/>
      <w:b/>
      <w:bCs/>
      <w:i/>
      <w:iCs/>
      <w:sz w:val="20"/>
    </w:rPr>
  </w:style>
  <w:style w:type="paragraph" w:styleId="688">
    <w:name w:val="Heading 8"/>
    <w:basedOn w:val="680"/>
    <w:next w:val="680"/>
    <w:link w:val="860"/>
    <w:uiPriority w:val="9"/>
    <w:semiHidden/>
    <w:unhideWhenUsed/>
    <w:qFormat/>
    <w:pPr>
      <w:spacing w:before="280" w:after="0" w:line="360" w:lineRule="auto"/>
      <w:outlineLvl w:val="7"/>
    </w:pPr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paragraph" w:styleId="689">
    <w:name w:val="Heading 9"/>
    <w:basedOn w:val="680"/>
    <w:next w:val="680"/>
    <w:link w:val="861"/>
    <w:uiPriority w:val="9"/>
    <w:semiHidden/>
    <w:unhideWhenUsed/>
    <w:qFormat/>
    <w:pPr>
      <w:spacing w:before="280" w:after="0" w:line="360" w:lineRule="auto"/>
      <w:outlineLvl w:val="8"/>
    </w:pPr>
    <w:rPr>
      <w:rFonts w:asciiTheme="majorHAnsi" w:hAnsiTheme="majorHAnsi" w:eastAsiaTheme="majorEastAsia" w:cstheme="majorBidi"/>
      <w:i/>
      <w:iCs/>
      <w:sz w:val="18"/>
      <w:szCs w:val="18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Footnote Text Char"/>
    <w:uiPriority w:val="99"/>
    <w:rPr>
      <w:sz w:val="18"/>
    </w:rPr>
  </w:style>
  <w:style w:type="character" w:styleId="694" w:customStyle="1">
    <w:name w:val="Endnote Text Char"/>
    <w:uiPriority w:val="99"/>
    <w:rPr>
      <w:sz w:val="20"/>
    </w:rPr>
  </w:style>
  <w:style w:type="character" w:styleId="695" w:customStyle="1">
    <w:name w:val="Heading 1 Char"/>
    <w:basedOn w:val="690"/>
    <w:uiPriority w:val="9"/>
    <w:rPr>
      <w:rFonts w:ascii="Arial" w:hAnsi="Arial" w:eastAsia="Arial" w:cs="Arial"/>
      <w:sz w:val="40"/>
      <w:szCs w:val="40"/>
    </w:rPr>
  </w:style>
  <w:style w:type="character" w:styleId="696" w:customStyle="1">
    <w:name w:val="Heading 2 Char"/>
    <w:basedOn w:val="690"/>
    <w:uiPriority w:val="9"/>
    <w:rPr>
      <w:rFonts w:ascii="Arial" w:hAnsi="Arial" w:eastAsia="Arial" w:cs="Arial"/>
      <w:sz w:val="34"/>
    </w:rPr>
  </w:style>
  <w:style w:type="character" w:styleId="697" w:customStyle="1">
    <w:name w:val="Heading 3 Char"/>
    <w:basedOn w:val="690"/>
    <w:uiPriority w:val="9"/>
    <w:rPr>
      <w:rFonts w:ascii="Arial" w:hAnsi="Arial" w:eastAsia="Arial" w:cs="Arial"/>
      <w:sz w:val="30"/>
      <w:szCs w:val="30"/>
    </w:rPr>
  </w:style>
  <w:style w:type="character" w:styleId="698" w:customStyle="1">
    <w:name w:val="Heading 4 Char"/>
    <w:basedOn w:val="690"/>
    <w:uiPriority w:val="9"/>
    <w:rPr>
      <w:rFonts w:ascii="Arial" w:hAnsi="Arial" w:eastAsia="Arial" w:cs="Arial"/>
      <w:b/>
      <w:bCs/>
      <w:sz w:val="26"/>
      <w:szCs w:val="26"/>
    </w:rPr>
  </w:style>
  <w:style w:type="character" w:styleId="699" w:customStyle="1">
    <w:name w:val="Heading 5 Char"/>
    <w:basedOn w:val="690"/>
    <w:uiPriority w:val="9"/>
    <w:rPr>
      <w:rFonts w:ascii="Arial" w:hAnsi="Arial" w:eastAsia="Arial" w:cs="Arial"/>
      <w:b/>
      <w:bCs/>
      <w:sz w:val="24"/>
      <w:szCs w:val="24"/>
    </w:rPr>
  </w:style>
  <w:style w:type="character" w:styleId="700" w:customStyle="1">
    <w:name w:val="Heading 6 Char"/>
    <w:basedOn w:val="690"/>
    <w:uiPriority w:val="9"/>
    <w:rPr>
      <w:rFonts w:ascii="Arial" w:hAnsi="Arial" w:eastAsia="Arial" w:cs="Arial"/>
      <w:b/>
      <w:bCs/>
      <w:sz w:val="22"/>
      <w:szCs w:val="22"/>
    </w:rPr>
  </w:style>
  <w:style w:type="character" w:styleId="701" w:customStyle="1">
    <w:name w:val="Heading 7 Char"/>
    <w:basedOn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2" w:customStyle="1">
    <w:name w:val="Heading 8 Char"/>
    <w:basedOn w:val="690"/>
    <w:uiPriority w:val="9"/>
    <w:rPr>
      <w:rFonts w:ascii="Arial" w:hAnsi="Arial" w:eastAsia="Arial" w:cs="Arial"/>
      <w:i/>
      <w:iCs/>
      <w:sz w:val="22"/>
      <w:szCs w:val="22"/>
    </w:rPr>
  </w:style>
  <w:style w:type="character" w:styleId="703" w:customStyle="1">
    <w:name w:val="Heading 9 Char"/>
    <w:basedOn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704" w:customStyle="1">
    <w:name w:val="Title Char"/>
    <w:basedOn w:val="690"/>
    <w:uiPriority w:val="10"/>
    <w:rPr>
      <w:sz w:val="48"/>
      <w:szCs w:val="48"/>
    </w:rPr>
  </w:style>
  <w:style w:type="character" w:styleId="705" w:customStyle="1">
    <w:name w:val="Subtitle Char"/>
    <w:basedOn w:val="690"/>
    <w:uiPriority w:val="11"/>
    <w:rPr>
      <w:sz w:val="24"/>
      <w:szCs w:val="24"/>
    </w:rPr>
  </w:style>
  <w:style w:type="character" w:styleId="706" w:customStyle="1">
    <w:name w:val="Quote Char"/>
    <w:uiPriority w:val="29"/>
    <w:rPr>
      <w:i/>
    </w:rPr>
  </w:style>
  <w:style w:type="character" w:styleId="707" w:customStyle="1">
    <w:name w:val="Intense Quote Char"/>
    <w:uiPriority w:val="30"/>
    <w:rPr>
      <w:i/>
    </w:rPr>
  </w:style>
  <w:style w:type="character" w:styleId="708" w:customStyle="1">
    <w:name w:val="Header Char"/>
    <w:basedOn w:val="690"/>
    <w:uiPriority w:val="99"/>
  </w:style>
  <w:style w:type="character" w:styleId="709" w:customStyle="1">
    <w:name w:val="Footer Char"/>
    <w:basedOn w:val="690"/>
    <w:uiPriority w:val="99"/>
  </w:style>
  <w:style w:type="character" w:styleId="710" w:customStyle="1">
    <w:name w:val="Caption Char"/>
    <w:uiPriority w:val="99"/>
  </w:style>
  <w:style w:type="table" w:styleId="711">
    <w:name w:val="Table Grid"/>
    <w:basedOn w:val="69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2" w:customStyle="1">
    <w:name w:val="Table Grid Light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3">
    <w:name w:val="Plain Table 1"/>
    <w:basedOn w:val="69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2"/>
    <w:basedOn w:val="69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6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8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0" w:customStyle="1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1" w:customStyle="1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2" w:customStyle="1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3" w:customStyle="1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4" w:customStyle="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5" w:customStyle="1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6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3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4" w:customStyle="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5" w:customStyle="1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6" w:customStyle="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7" w:customStyle="1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8" w:customStyle="1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0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7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1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3" w:customStyle="1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4" w:customStyle="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5" w:customStyle="1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6" w:customStyle="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7" w:customStyle="1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8" w:customStyle="1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9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6" w:customStyle="1">
    <w:name w:val="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7" w:customStyle="1">
    <w:name w:val="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8" w:customStyle="1">
    <w:name w:val="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9" w:customStyle="1">
    <w:name w:val="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0" w:customStyle="1">
    <w:name w:val="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 &amp; Lined - Accent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4" w:customStyle="1">
    <w:name w:val="Bordered &amp; Lined - Accent 1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5" w:customStyle="1">
    <w:name w:val="Bordered &amp; Lined - Accent 2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6" w:customStyle="1">
    <w:name w:val="Bordered &amp; Lined - Accent 3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7" w:customStyle="1">
    <w:name w:val="Bordered &amp; Lined - Accent 4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8" w:customStyle="1">
    <w:name w:val="Bordered &amp; Lined - Accent 5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9" w:customStyle="1">
    <w:name w:val="Bordered &amp; Lined - Accent 6"/>
    <w:basedOn w:val="691"/>
    <w:uiPriority w:val="99"/>
    <w:pPr>
      <w:spacing w:after="0" w:line="240" w:lineRule="auto"/>
    </w:pPr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0" w:customStyle="1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1" w:customStyle="1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2" w:customStyle="1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3" w:customStyle="1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4" w:customStyle="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5" w:customStyle="1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6" w:customStyle="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7">
    <w:name w:val="footnote text"/>
    <w:basedOn w:val="680"/>
    <w:link w:val="838"/>
    <w:uiPriority w:val="99"/>
    <w:semiHidden/>
    <w:unhideWhenUsed/>
    <w:pPr>
      <w:spacing w:after="40"/>
    </w:pPr>
    <w:rPr>
      <w:sz w:val="18"/>
    </w:rPr>
  </w:style>
  <w:style w:type="character" w:styleId="838" w:customStyle="1">
    <w:name w:val="Текст сноски Знак"/>
    <w:link w:val="837"/>
    <w:uiPriority w:val="99"/>
    <w:rPr>
      <w:sz w:val="18"/>
    </w:rPr>
  </w:style>
  <w:style w:type="character" w:styleId="839">
    <w:name w:val="footnote reference"/>
    <w:basedOn w:val="690"/>
    <w:uiPriority w:val="99"/>
    <w:unhideWhenUsed/>
    <w:rPr>
      <w:vertAlign w:val="superscript"/>
    </w:rPr>
  </w:style>
  <w:style w:type="paragraph" w:styleId="840">
    <w:name w:val="endnote text"/>
    <w:basedOn w:val="680"/>
    <w:link w:val="841"/>
    <w:uiPriority w:val="99"/>
    <w:semiHidden/>
    <w:unhideWhenUsed/>
    <w:pPr>
      <w:spacing w:after="0"/>
    </w:pPr>
    <w:rPr>
      <w:sz w:val="20"/>
    </w:rPr>
  </w:style>
  <w:style w:type="character" w:styleId="841" w:customStyle="1">
    <w:name w:val="Текст концевой сноски Знак"/>
    <w:link w:val="840"/>
    <w:uiPriority w:val="99"/>
    <w:rPr>
      <w:sz w:val="20"/>
    </w:rPr>
  </w:style>
  <w:style w:type="character" w:styleId="842">
    <w:name w:val="endnote reference"/>
    <w:basedOn w:val="690"/>
    <w:uiPriority w:val="99"/>
    <w:semiHidden/>
    <w:unhideWhenUsed/>
    <w:rPr>
      <w:vertAlign w:val="superscript"/>
    </w:rPr>
  </w:style>
  <w:style w:type="paragraph" w:styleId="843">
    <w:name w:val="toc 1"/>
    <w:basedOn w:val="680"/>
    <w:next w:val="680"/>
    <w:uiPriority w:val="39"/>
    <w:unhideWhenUsed/>
    <w:pPr>
      <w:spacing w:after="57"/>
    </w:pPr>
  </w:style>
  <w:style w:type="paragraph" w:styleId="844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45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46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47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48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49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0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1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2">
    <w:name w:val="table of figures"/>
    <w:basedOn w:val="680"/>
    <w:next w:val="680"/>
    <w:uiPriority w:val="99"/>
    <w:unhideWhenUsed/>
    <w:pPr>
      <w:spacing w:after="0"/>
    </w:pPr>
  </w:style>
  <w:style w:type="character" w:styleId="853" w:customStyle="1">
    <w:name w:val="Заголовок 1 Знак"/>
    <w:basedOn w:val="690"/>
    <w:link w:val="681"/>
    <w:uiPriority w:val="9"/>
    <w:rPr>
      <w:rFonts w:asciiTheme="majorHAnsi" w:hAnsiTheme="majorHAnsi" w:eastAsiaTheme="majorEastAsia" w:cstheme="majorBidi"/>
      <w:b/>
      <w:bCs/>
      <w:i/>
      <w:iCs/>
      <w:sz w:val="32"/>
      <w:szCs w:val="32"/>
    </w:rPr>
  </w:style>
  <w:style w:type="character" w:styleId="854" w:customStyle="1">
    <w:name w:val="Заголовок 2 Знак"/>
    <w:basedOn w:val="690"/>
    <w:link w:val="682"/>
    <w:uiPriority w:val="9"/>
    <w:semiHidden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55" w:customStyle="1">
    <w:name w:val="Заголовок 3 Знак"/>
    <w:basedOn w:val="690"/>
    <w:link w:val="683"/>
    <w:uiPriority w:val="9"/>
    <w:semiHidden/>
    <w:rPr>
      <w:rFonts w:asciiTheme="majorHAnsi" w:hAnsiTheme="majorHAnsi" w:eastAsiaTheme="majorEastAsia" w:cstheme="majorBidi"/>
      <w:b/>
      <w:bCs/>
      <w:i/>
      <w:iCs/>
      <w:sz w:val="26"/>
      <w:szCs w:val="26"/>
    </w:rPr>
  </w:style>
  <w:style w:type="character" w:styleId="856" w:customStyle="1">
    <w:name w:val="Заголовок 4 Знак"/>
    <w:basedOn w:val="690"/>
    <w:link w:val="684"/>
    <w:uiPriority w:val="9"/>
    <w:semiHidden/>
    <w:rPr>
      <w:rFonts w:asciiTheme="majorHAnsi" w:hAnsiTheme="majorHAnsi" w:eastAsiaTheme="majorEastAsia" w:cstheme="majorBidi"/>
      <w:b/>
      <w:bCs/>
      <w:i/>
      <w:iCs/>
      <w:sz w:val="24"/>
      <w:szCs w:val="24"/>
    </w:rPr>
  </w:style>
  <w:style w:type="character" w:styleId="857" w:customStyle="1">
    <w:name w:val="Заголовок 5 Знак"/>
    <w:basedOn w:val="690"/>
    <w:link w:val="685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8" w:customStyle="1">
    <w:name w:val="Заголовок 6 Знак"/>
    <w:basedOn w:val="690"/>
    <w:link w:val="686"/>
    <w:uiPriority w:val="9"/>
    <w:semiHidden/>
    <w:rPr>
      <w:rFonts w:asciiTheme="majorHAnsi" w:hAnsiTheme="majorHAnsi" w:eastAsiaTheme="majorEastAsia" w:cstheme="majorBidi"/>
      <w:b/>
      <w:bCs/>
      <w:i/>
      <w:iCs/>
    </w:rPr>
  </w:style>
  <w:style w:type="character" w:styleId="859" w:customStyle="1">
    <w:name w:val="Заголовок 7 Знак"/>
    <w:basedOn w:val="690"/>
    <w:link w:val="687"/>
    <w:uiPriority w:val="9"/>
    <w:semiHidden/>
    <w:rPr>
      <w:rFonts w:asciiTheme="majorHAnsi" w:hAnsiTheme="majorHAnsi" w:eastAsiaTheme="majorEastAsia" w:cstheme="majorBidi"/>
      <w:b/>
      <w:bCs/>
      <w:i/>
      <w:iCs/>
      <w:sz w:val="20"/>
      <w:szCs w:val="20"/>
    </w:rPr>
  </w:style>
  <w:style w:type="character" w:styleId="860" w:customStyle="1">
    <w:name w:val="Заголовок 8 Знак"/>
    <w:basedOn w:val="690"/>
    <w:link w:val="688"/>
    <w:uiPriority w:val="9"/>
    <w:semiHidden/>
    <w:rPr>
      <w:rFonts w:asciiTheme="majorHAnsi" w:hAnsiTheme="majorHAnsi" w:eastAsiaTheme="majorEastAsia" w:cstheme="majorBidi"/>
      <w:b/>
      <w:bCs/>
      <w:i/>
      <w:iCs/>
      <w:sz w:val="18"/>
      <w:szCs w:val="18"/>
    </w:rPr>
  </w:style>
  <w:style w:type="character" w:styleId="861" w:customStyle="1">
    <w:name w:val="Заголовок 9 Знак"/>
    <w:basedOn w:val="690"/>
    <w:link w:val="689"/>
    <w:uiPriority w:val="9"/>
    <w:semiHidden/>
    <w:rPr>
      <w:rFonts w:asciiTheme="majorHAnsi" w:hAnsiTheme="majorHAnsi" w:eastAsiaTheme="majorEastAsia" w:cstheme="majorBidi"/>
      <w:i/>
      <w:iCs/>
      <w:sz w:val="18"/>
      <w:szCs w:val="18"/>
    </w:rPr>
  </w:style>
  <w:style w:type="paragraph" w:styleId="862">
    <w:name w:val="Caption"/>
    <w:basedOn w:val="680"/>
    <w:next w:val="680"/>
    <w:uiPriority w:val="35"/>
    <w:semiHidden/>
    <w:unhideWhenUsed/>
    <w:qFormat/>
    <w:rPr>
      <w:b/>
      <w:bCs/>
      <w:sz w:val="18"/>
      <w:szCs w:val="18"/>
    </w:rPr>
  </w:style>
  <w:style w:type="paragraph" w:styleId="863">
    <w:name w:val="Title"/>
    <w:basedOn w:val="680"/>
    <w:next w:val="680"/>
    <w:link w:val="864"/>
    <w:uiPriority w:val="10"/>
    <w:qFormat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character" w:styleId="864" w:customStyle="1">
    <w:name w:val="Заголовок Знак"/>
    <w:basedOn w:val="690"/>
    <w:link w:val="863"/>
    <w:uiPriority w:val="10"/>
    <w:rPr>
      <w:rFonts w:asciiTheme="majorHAnsi" w:hAnsiTheme="majorHAnsi" w:eastAsiaTheme="majorEastAsia" w:cstheme="majorBidi"/>
      <w:b/>
      <w:bCs/>
      <w:i/>
      <w:iCs/>
      <w:spacing w:val="10"/>
      <w:sz w:val="60"/>
      <w:szCs w:val="60"/>
    </w:rPr>
  </w:style>
  <w:style w:type="paragraph" w:styleId="865">
    <w:name w:val="Subtitle"/>
    <w:basedOn w:val="680"/>
    <w:next w:val="680"/>
    <w:link w:val="866"/>
    <w:uiPriority w:val="11"/>
    <w:qFormat/>
    <w:pPr>
      <w:jc w:val="right"/>
      <w:spacing w:after="320"/>
    </w:pPr>
    <w:rPr>
      <w:i/>
      <w:iCs/>
      <w:color w:val="808080" w:themeColor="text1" w:themeTint="7F"/>
      <w:spacing w:val="10"/>
      <w:szCs w:val="24"/>
    </w:rPr>
  </w:style>
  <w:style w:type="character" w:styleId="866" w:customStyle="1">
    <w:name w:val="Подзаголовок Знак"/>
    <w:basedOn w:val="690"/>
    <w:link w:val="865"/>
    <w:uiPriority w:val="11"/>
    <w:rPr>
      <w:i/>
      <w:iCs/>
      <w:color w:val="808080" w:themeColor="text1" w:themeTint="7F"/>
      <w:spacing w:val="10"/>
      <w:sz w:val="24"/>
      <w:szCs w:val="24"/>
    </w:rPr>
  </w:style>
  <w:style w:type="character" w:styleId="867">
    <w:name w:val="Strong"/>
    <w:basedOn w:val="690"/>
    <w:uiPriority w:val="22"/>
    <w:qFormat/>
    <w:rPr>
      <w:b/>
      <w:bCs/>
      <w:spacing w:val="0"/>
    </w:rPr>
  </w:style>
  <w:style w:type="character" w:styleId="868">
    <w:name w:val="Emphasis"/>
    <w:uiPriority w:val="20"/>
    <w:qFormat/>
    <w:rPr>
      <w:b/>
      <w:bCs/>
      <w:i/>
      <w:iCs/>
      <w:color w:val="auto"/>
    </w:rPr>
  </w:style>
  <w:style w:type="paragraph" w:styleId="869">
    <w:name w:val="No Spacing"/>
    <w:basedOn w:val="680"/>
    <w:uiPriority w:val="1"/>
    <w:qFormat/>
    <w:pPr>
      <w:spacing w:after="0"/>
    </w:pPr>
  </w:style>
  <w:style w:type="paragraph" w:styleId="870">
    <w:name w:val="List Paragraph"/>
    <w:basedOn w:val="680"/>
    <w:uiPriority w:val="34"/>
    <w:qFormat/>
    <w:pPr>
      <w:contextualSpacing/>
      <w:ind w:left="720"/>
    </w:pPr>
  </w:style>
  <w:style w:type="paragraph" w:styleId="871">
    <w:name w:val="Quote"/>
    <w:basedOn w:val="680"/>
    <w:next w:val="680"/>
    <w:link w:val="872"/>
    <w:uiPriority w:val="29"/>
    <w:qFormat/>
    <w:rPr>
      <w:color w:val="5a5a5a" w:themeColor="text1" w:themeTint="A5"/>
    </w:rPr>
  </w:style>
  <w:style w:type="character" w:styleId="872" w:customStyle="1">
    <w:name w:val="Цитата 2 Знак"/>
    <w:basedOn w:val="690"/>
    <w:link w:val="871"/>
    <w:uiPriority w:val="29"/>
    <w:rPr>
      <w:rFonts w:asciiTheme="minorHAnsi"/>
      <w:color w:val="5a5a5a" w:themeColor="text1" w:themeTint="A5"/>
    </w:rPr>
  </w:style>
  <w:style w:type="paragraph" w:styleId="873">
    <w:name w:val="Intense Quote"/>
    <w:basedOn w:val="680"/>
    <w:next w:val="680"/>
    <w:link w:val="874"/>
    <w:uiPriority w:val="30"/>
    <w:qFormat/>
    <w:pPr>
      <w:ind w:left="720" w:right="720"/>
      <w:jc w:val="center"/>
      <w:spacing w:before="320" w:after="480"/>
    </w:pPr>
    <w:rPr>
      <w:rFonts w:asciiTheme="majorHAnsi" w:hAnsiTheme="majorHAnsi" w:eastAsiaTheme="majorEastAsia" w:cstheme="majorBidi"/>
      <w:i/>
      <w:iCs/>
      <w:sz w:val="20"/>
    </w:rPr>
  </w:style>
  <w:style w:type="character" w:styleId="874" w:customStyle="1">
    <w:name w:val="Выделенная цитата Знак"/>
    <w:basedOn w:val="690"/>
    <w:link w:val="873"/>
    <w:uiPriority w:val="30"/>
    <w:rPr>
      <w:rFonts w:asciiTheme="majorHAnsi" w:hAnsiTheme="majorHAnsi" w:eastAsiaTheme="majorEastAsia" w:cstheme="majorBidi"/>
      <w:i/>
      <w:iCs/>
      <w:sz w:val="20"/>
      <w:szCs w:val="20"/>
    </w:rPr>
  </w:style>
  <w:style w:type="character" w:styleId="875">
    <w:name w:val="Subtle Emphasis"/>
    <w:uiPriority w:val="19"/>
    <w:qFormat/>
    <w:rPr>
      <w:i/>
      <w:iCs/>
      <w:color w:val="5a5a5a" w:themeColor="text1" w:themeTint="A5"/>
    </w:rPr>
  </w:style>
  <w:style w:type="character" w:styleId="876">
    <w:name w:val="Intense Emphasis"/>
    <w:uiPriority w:val="21"/>
    <w:qFormat/>
    <w:rPr>
      <w:b/>
      <w:bCs/>
      <w:i/>
      <w:iCs/>
      <w:color w:val="auto"/>
      <w:u w:val="single"/>
    </w:rPr>
  </w:style>
  <w:style w:type="character" w:styleId="877">
    <w:name w:val="Subtle Reference"/>
    <w:uiPriority w:val="31"/>
    <w:qFormat/>
    <w:rPr>
      <w:smallCaps/>
    </w:rPr>
  </w:style>
  <w:style w:type="character" w:styleId="878">
    <w:name w:val="Intense Reference"/>
    <w:uiPriority w:val="32"/>
    <w:qFormat/>
    <w:rPr>
      <w:b/>
      <w:bCs/>
      <w:smallCaps/>
      <w:color w:val="auto"/>
    </w:rPr>
  </w:style>
  <w:style w:type="character" w:styleId="879">
    <w:name w:val="Book Title"/>
    <w:uiPriority w:val="33"/>
    <w:qFormat/>
    <w:rPr>
      <w:rFonts w:asciiTheme="majorHAnsi" w:hAnsiTheme="majorHAnsi" w:eastAsiaTheme="majorEastAsia" w:cstheme="majorBidi"/>
      <w:b/>
      <w:bCs/>
      <w:smallCaps/>
      <w:color w:val="auto"/>
      <w:u w:val="single"/>
    </w:rPr>
  </w:style>
  <w:style w:type="paragraph" w:styleId="880">
    <w:name w:val="TOC Heading"/>
    <w:basedOn w:val="681"/>
    <w:next w:val="680"/>
    <w:uiPriority w:val="39"/>
    <w:semiHidden/>
    <w:unhideWhenUsed/>
    <w:qFormat/>
    <w:pPr>
      <w:outlineLvl w:val="9"/>
    </w:pPr>
  </w:style>
  <w:style w:type="paragraph" w:styleId="881">
    <w:name w:val="Header"/>
    <w:basedOn w:val="680"/>
    <w:link w:val="88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882" w:customStyle="1">
    <w:name w:val="Верхний колонтитул Знак"/>
    <w:basedOn w:val="690"/>
    <w:link w:val="881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883" w:customStyle="1">
    <w:name w:val="ConsPlusNonformat"/>
    <w:uiPriority w:val="99"/>
    <w:pPr>
      <w:ind w:firstLine="0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styleId="884">
    <w:name w:val="Balloon Text"/>
    <w:basedOn w:val="680"/>
    <w:link w:val="885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885" w:customStyle="1">
    <w:name w:val="Текст выноски Знак"/>
    <w:basedOn w:val="690"/>
    <w:link w:val="884"/>
    <w:uiPriority w:val="99"/>
    <w:semiHidden/>
    <w:rPr>
      <w:rFonts w:ascii="Tahoma" w:hAnsi="Tahoma" w:eastAsia="Times New Roman" w:cs="Tahoma"/>
      <w:sz w:val="16"/>
      <w:szCs w:val="16"/>
      <w:lang w:val="ru-RU" w:eastAsia="ru-RU" w:bidi="ar-SA"/>
    </w:rPr>
  </w:style>
  <w:style w:type="character" w:styleId="886">
    <w:name w:val="annotation reference"/>
    <w:basedOn w:val="690"/>
    <w:uiPriority w:val="99"/>
    <w:semiHidden/>
    <w:unhideWhenUsed/>
    <w:rPr>
      <w:sz w:val="16"/>
      <w:szCs w:val="16"/>
    </w:rPr>
  </w:style>
  <w:style w:type="paragraph" w:styleId="887">
    <w:name w:val="annotation text"/>
    <w:basedOn w:val="680"/>
    <w:link w:val="888"/>
    <w:uiPriority w:val="99"/>
    <w:semiHidden/>
    <w:unhideWhenUsed/>
    <w:rPr>
      <w:sz w:val="20"/>
    </w:rPr>
  </w:style>
  <w:style w:type="character" w:styleId="888" w:customStyle="1">
    <w:name w:val="Текст примечания Знак"/>
    <w:basedOn w:val="690"/>
    <w:link w:val="887"/>
    <w:uiPriority w:val="99"/>
    <w:semiHidden/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 w:eastAsia="ru-RU" w:bidi="ar-SA"/>
    </w:rPr>
  </w:style>
  <w:style w:type="paragraph" w:styleId="891">
    <w:name w:val="Footer"/>
    <w:basedOn w:val="680"/>
    <w:link w:val="892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892" w:customStyle="1">
    <w:name w:val="Нижний колонтитул Знак"/>
    <w:basedOn w:val="690"/>
    <w:link w:val="891"/>
    <w:uiPriority w:val="99"/>
    <w:rPr>
      <w:rFonts w:ascii="Times New Roman" w:hAnsi="Times New Roman" w:eastAsia="Times New Roman" w:cs="Times New Roman"/>
      <w:sz w:val="24"/>
      <w:szCs w:val="20"/>
      <w:lang w:val="ru-RU" w:eastAsia="ru-RU" w:bidi="ar-SA"/>
    </w:rPr>
  </w:style>
  <w:style w:type="paragraph" w:styleId="893" w:customStyle="1">
    <w:name w:val="ConsPlusNormal"/>
    <w:pPr>
      <w:ind w:firstLine="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894" w:customStyle="1">
    <w:name w:val="заголовок 1"/>
    <w:basedOn w:val="680"/>
    <w:next w:val="680"/>
    <w:uiPriority w:val="99"/>
    <w:pPr>
      <w:jc w:val="center"/>
      <w:keepNext/>
      <w:spacing w:before="0" w:after="0"/>
      <w:outlineLvl w:val="0"/>
    </w:pPr>
    <w:rPr>
      <w:b/>
      <w:bCs/>
      <w:sz w:val="28"/>
      <w:szCs w:val="28"/>
    </w:rPr>
  </w:style>
  <w:style w:type="paragraph" w:styleId="895">
    <w:name w:val="Body Text"/>
    <w:basedOn w:val="680"/>
    <w:link w:val="896"/>
    <w:uiPriority w:val="99"/>
    <w:pPr>
      <w:jc w:val="both"/>
      <w:spacing w:before="0" w:after="0"/>
    </w:pPr>
    <w:rPr>
      <w:sz w:val="28"/>
      <w:szCs w:val="28"/>
    </w:rPr>
  </w:style>
  <w:style w:type="character" w:styleId="896" w:customStyle="1">
    <w:name w:val="Основной текст Знак"/>
    <w:basedOn w:val="690"/>
    <w:link w:val="895"/>
    <w:uiPriority w:val="99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styleId="897">
    <w:name w:val="Hyperlink"/>
    <w:basedOn w:val="69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F5717AE-527B-4862-80C0-A5087623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Юлия Сивохина</dc:creator>
  <cp:revision>7</cp:revision>
  <dcterms:created xsi:type="dcterms:W3CDTF">2023-11-17T05:17:00Z</dcterms:created>
  <dcterms:modified xsi:type="dcterms:W3CDTF">2024-10-03T09:53:31Z</dcterms:modified>
</cp:coreProperties>
</file>