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«УТВЕРЖДЕН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Новосибирской области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27.12.2021 № 554-п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Детализированный перечень мероприятий,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реализуем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в рамках инфраструктурных проектов Новосибирской области, отобранных в соответствии с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14.07.2021 № 1189 «Об утверждении Правил отбора инфраструктурных проектов, источником финансового обеспеч</w:t>
      </w:r>
      <w:r>
        <w:rPr>
          <w:rFonts w:ascii="Times New Roman" w:hAnsi="Times New Roman"/>
          <w:sz w:val="28"/>
          <w:szCs w:val="28"/>
        </w:rPr>
        <w:t xml:space="preserve">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</w:t>
      </w:r>
      <w:r>
        <w:rPr>
          <w:rFonts w:ascii="Times New Roman" w:hAnsi="Times New Roman"/>
          <w:sz w:val="28"/>
          <w:szCs w:val="28"/>
        </w:rPr>
        <w:t xml:space="preserve">о региональному развитию в Российской Федерации»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0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494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405"/>
        <w:gridCol w:w="1528"/>
        <w:gridCol w:w="1133"/>
        <w:gridCol w:w="1449"/>
        <w:gridCol w:w="1701"/>
        <w:gridCol w:w="1417"/>
        <w:gridCol w:w="567"/>
        <w:gridCol w:w="992"/>
        <w:gridCol w:w="850"/>
        <w:gridCol w:w="1004"/>
        <w:gridCol w:w="981"/>
        <w:gridCol w:w="1134"/>
        <w:gridCol w:w="1368"/>
      </w:tblGrid>
      <w:tr>
        <w:tblPrEx/>
        <w:trPr>
          <w:jc w:val="center"/>
          <w:trHeight w:val="827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инвестиционного проекта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Размер вложений в инвестицион-ный 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внебюджетных средств) по соглашению с инвестором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(тыс. руб.)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инфраструктурного проекта в целях реали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зации инвестиционного проекта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инфраструктуры в рамках инфраструктурного проекта, местоположение объекта инфраструктуры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Годы реализации объекта инфраструктуры (инвестиционная фаза)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6"/>
            <w:tcW w:w="552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финансирования (тыс.руб.)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68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распорядителя средств бюджета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459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gridSpan w:val="5"/>
            <w:tcW w:w="439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инфраструктурные бюджетные кредиты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8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2021 году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5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2023 году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2024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году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ind w:left="-51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2025 году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68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объектов для оказания первичной медико-санитарной помощи в городе Новосибирске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16 450 513,53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объектов для оказания первичной медико-санитарной помощи в городе Новосибирске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Объекты для оказания первичной медико-санитарной помощи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городе Новосибирске;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Новосибирская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Ереванская;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Новосибирской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Татьяны Снежиной;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Новосибирская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летарская, (259)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2019–2024 гг.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3 311 580,00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16 450 513,53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здравоохранения Новосибирской области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405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многоквартирных жилых домов с помещениями общественного назначения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Зорге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г. Новосибирске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11 862 190,00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объекта коммунальной инфраструктуры в целях реализации строительства многоквартирных жилых домов с помещениями общественного назначения по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Зорге в г. Новосибирске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водоотведения в целях создания многоквартирных жилых домов с помещениями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щественного назначения по ул.Зорге в г.Новосибирске; Российская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Федерация, Новосибирская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г. Новосибирск,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Зорге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2023-2025 гг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314 000,00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39 884,68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Жилищное строительство в п. Озерный Мочищенского сельсовета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26 646 970,00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объектов инженерной, энергетической и коммунальной инфраструктуры в целях реализации жилищного строительства в п. Озерный Мочищенского сельсовета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теплоснабжения объектов жилищного строительства в п.Озерный Мочищенского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ельсовета Новосибирской области; Российская Федерация, Новосибирская область, Новосибирский район, Мочищенский сельсовет, п. Озерный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2023-2025 гг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350 000,00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водоснабжения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жилищного строительства в п.Озерный Мочищенского сельсовета Новосибирской области; Российская Федерация, Новосибирская область, Новосибирский район, Мочищенский сельсовет, п. Озерный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2023-2025 гг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400 151,39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187 267,89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водоотведения, объектов жилищного строительства в п.Озерный Мочищенского сельсовета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Российская Федерация, Новосибирская область, Новосибирский район, Мочищенский сельсовет, п. Озерный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2023-2025 гг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586 194,24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электроснабже-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ния, в том числе трансформаторная подстанция объектов жилищного строительства в п.Озерный Мочищенского сельсовета Новосибирской области; Российская Федерация, Новосибирская область, Новосибирский район, Мочищенский сельсовет, п. Озерный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2023-2025 гг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116 682,84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140 898,78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Комплексная застройка квартала «Жилой микрорайон Карьер Мочище» на земельном участке с кадастровым номером 54:19:101101:780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Новосибирская область, р-н Новосибирский, Мочищенский сельсовет, п.Озерный, ул.Промышленная»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18 470 000,00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объектов инженерной,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энергетической и коммунальной инфраструктуры в целях обеспечения реализации инвестиционного проекта комплексной застройки «Жилой микрорайон Карьер Мочище» в п. Озерный Мочищенского сельсовета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водоснабжения; Российская Федерация,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Мочищенский сельсовет, п.Озерный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2023-2025 гг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300 000,00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564 000,00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водоотведения; Российская Федерация, Новосибирская область, Мочищенский сельсовет, п.Озерный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2023-2025 гг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250 000,00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758 000,00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«Скандинавские кварталы»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8 926 611, 43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объектов инженерной, энергетической и коммунальной инфраструктуры в целях обеспечения реализации инвестиционного проекта жилищного строительства «Скандинавские кварталы» в Первомайском районе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теплоснабжения; Российская Федерац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ия, Новосибирская область, Первомайский район, г. Новосибирск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2024-2025 гг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92 802,00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16 377,00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водоснабжения; Российская Федерация, Новосибирская область, Первомайский район, г. Новосибирск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2024-2025 гг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6 500,00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водоотведения; Российская Федерация, Новосибирская область, Первомайский район, г. Новосибирск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2024-2025 гг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145 779,00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90 000,00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26 198,00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417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Сети электроснабже-ния; Российская Федерация, Новосибирская область, Первомайский район, г. Новосибирск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2024-2025 гг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41 419,00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16 592,00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«Территория инновационной и научно-образовательной деятельности «СмартСити-Новосибирск»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72 308 210,00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Создание объектов инженерной, энергетической и коммунальной инфраструктуры в целях обеспечения реализации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инвестиционного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проекта «Территория инновационной и научно-образовательной деятельности «СмартСити-Новосибирск»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Система водоснабжения территор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ии инновационной и научно-образовательной деятельности «СмартСити-Новосибир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ск»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Российская Федерация, Новосибирская область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2024-2027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531 922,79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136 660,80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1 039 676,41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73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Система  водоотведения территории инновационной и научно-образовательной деятельности «СмартСити-Новосибир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ск»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Российская Федерация, Новосибирская область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2024-2027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1 137 327,83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410 950,81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1 701 229,46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73"/>
        </w:trPr>
        <w:tc>
          <w:tcPr>
            <w:tcW w:w="4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Система  электроснабжения территории инновационной и научно-образовательной деятельности «СмартСити-Новосибир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ск»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Российская Федерация, Новосибирская область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2024-2027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</w:p>
        </w:tc>
        <w:tc>
          <w:tcPr>
            <w:tcW w:w="10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89 600,00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9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22 400,00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336 000,00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136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73"/>
        </w:trPr>
        <w:tc>
          <w:tcPr>
            <w:tcW w:w="4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Система  теплоснабжения территории инновационной и научно-образовательной деятельности «СмартСити-Новосибирс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к»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Российская Федерация, Новосибирская область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2024-2027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white"/>
              </w:rPr>
            </w:r>
          </w:p>
        </w:tc>
        <w:tc>
          <w:tcPr>
            <w:tcW w:w="10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179 906,38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9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28 469,92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691 123,70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136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5" w:orient="landscape"/>
      <w:pgMar w:top="1417" w:right="1134" w:bottom="567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  \* MERGEFORMAT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t xml:space="preserve">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1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pPr>
      <w:jc w:val="right"/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83">
    <w:name w:val="Heading 1"/>
    <w:basedOn w:val="682"/>
    <w:next w:val="682"/>
    <w:link w:val="70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next w:val="682"/>
    <w:link w:val="71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next w:val="682"/>
    <w:link w:val="71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7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1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7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9">
    <w:name w:val="Heading 7"/>
    <w:basedOn w:val="682"/>
    <w:next w:val="682"/>
    <w:link w:val="7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0">
    <w:name w:val="Heading 8"/>
    <w:basedOn w:val="682"/>
    <w:next w:val="682"/>
    <w:link w:val="71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1">
    <w:name w:val="Heading 9"/>
    <w:basedOn w:val="682"/>
    <w:next w:val="682"/>
    <w:link w:val="7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uiPriority w:val="10"/>
    <w:rPr>
      <w:sz w:val="48"/>
      <w:szCs w:val="48"/>
    </w:rPr>
  </w:style>
  <w:style w:type="character" w:styleId="705" w:customStyle="1">
    <w:name w:val="Subtitle Char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Заголовок 1 Знак"/>
    <w:link w:val="683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link w:val="684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link w:val="685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82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rPr>
      <w:lang w:eastAsia="zh-CN"/>
    </w:rPr>
  </w:style>
  <w:style w:type="paragraph" w:styleId="720">
    <w:name w:val="Title"/>
    <w:basedOn w:val="682"/>
    <w:next w:val="682"/>
    <w:link w:val="721"/>
    <w:uiPriority w:val="10"/>
    <w:qFormat/>
    <w:pPr>
      <w:contextualSpacing/>
      <w:spacing w:before="300"/>
    </w:pPr>
    <w:rPr>
      <w:sz w:val="48"/>
      <w:szCs w:val="48"/>
    </w:rPr>
  </w:style>
  <w:style w:type="character" w:styleId="721" w:customStyle="1">
    <w:name w:val="Заголовок Знак"/>
    <w:link w:val="720"/>
    <w:uiPriority w:val="10"/>
    <w:rPr>
      <w:sz w:val="48"/>
      <w:szCs w:val="48"/>
    </w:rPr>
  </w:style>
  <w:style w:type="paragraph" w:styleId="722">
    <w:name w:val="Subtitle"/>
    <w:basedOn w:val="682"/>
    <w:next w:val="682"/>
    <w:link w:val="723"/>
    <w:uiPriority w:val="11"/>
    <w:qFormat/>
    <w:pPr>
      <w:spacing w:before="200"/>
    </w:pPr>
    <w:rPr>
      <w:sz w:val="24"/>
      <w:szCs w:val="24"/>
    </w:rPr>
  </w:style>
  <w:style w:type="character" w:styleId="723" w:customStyle="1">
    <w:name w:val="Подзаголовок Знак"/>
    <w:link w:val="722"/>
    <w:uiPriority w:val="11"/>
    <w:rPr>
      <w:sz w:val="24"/>
      <w:szCs w:val="24"/>
    </w:rPr>
  </w:style>
  <w:style w:type="paragraph" w:styleId="724">
    <w:name w:val="Quote"/>
    <w:basedOn w:val="682"/>
    <w:next w:val="682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2"/>
    <w:next w:val="682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paragraph" w:styleId="728">
    <w:name w:val="Header"/>
    <w:basedOn w:val="682"/>
    <w:link w:val="888"/>
    <w:uiPriority w:val="99"/>
    <w:pPr>
      <w:tabs>
        <w:tab w:val="center" w:pos="4677" w:leader="none"/>
        <w:tab w:val="right" w:pos="9355" w:leader="none"/>
      </w:tabs>
    </w:pPr>
  </w:style>
  <w:style w:type="character" w:styleId="729" w:customStyle="1">
    <w:name w:val="Header Char"/>
    <w:uiPriority w:val="99"/>
  </w:style>
  <w:style w:type="paragraph" w:styleId="730">
    <w:name w:val="Footer"/>
    <w:basedOn w:val="682"/>
    <w:link w:val="889"/>
    <w:pPr>
      <w:tabs>
        <w:tab w:val="center" w:pos="4677" w:leader="none"/>
        <w:tab w:val="right" w:pos="9355" w:leader="none"/>
      </w:tabs>
    </w:pPr>
  </w:style>
  <w:style w:type="character" w:styleId="731" w:customStyle="1">
    <w:name w:val="Footer Char"/>
    <w:uiPriority w:val="99"/>
  </w:style>
  <w:style w:type="paragraph" w:styleId="732">
    <w:name w:val="Caption"/>
    <w:basedOn w:val="682"/>
    <w:next w:val="682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33" w:customStyle="1">
    <w:name w:val="Caption Char"/>
    <w:uiPriority w:val="99"/>
  </w:style>
  <w:style w:type="table" w:styleId="734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0">
    <w:name w:val="Hyperlink"/>
    <w:uiPriority w:val="99"/>
    <w:unhideWhenUsed/>
    <w:rPr>
      <w:color w:val="0000ff"/>
      <w:u w:val="single"/>
    </w:rPr>
  </w:style>
  <w:style w:type="paragraph" w:styleId="861">
    <w:name w:val="footnote text"/>
    <w:basedOn w:val="682"/>
    <w:link w:val="895"/>
    <w:rPr>
      <w:sz w:val="20"/>
      <w:szCs w:val="20"/>
    </w:rPr>
  </w:style>
  <w:style w:type="character" w:styleId="862" w:customStyle="1">
    <w:name w:val="Footnote Text Char"/>
    <w:uiPriority w:val="99"/>
    <w:rPr>
      <w:sz w:val="18"/>
    </w:rPr>
  </w:style>
  <w:style w:type="character" w:styleId="863">
    <w:name w:val="footnote reference"/>
    <w:rPr>
      <w:vertAlign w:val="superscript"/>
    </w:rPr>
  </w:style>
  <w:style w:type="paragraph" w:styleId="864">
    <w:name w:val="endnote text"/>
    <w:basedOn w:val="682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682"/>
    <w:next w:val="682"/>
    <w:uiPriority w:val="39"/>
    <w:unhideWhenUsed/>
    <w:pPr>
      <w:spacing w:after="57"/>
    </w:pPr>
  </w:style>
  <w:style w:type="paragraph" w:styleId="868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69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70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71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72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73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74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75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  <w:rPr>
      <w:lang w:eastAsia="zh-CN"/>
    </w:rPr>
  </w:style>
  <w:style w:type="paragraph" w:styleId="877">
    <w:name w:val="table of figures"/>
    <w:basedOn w:val="682"/>
    <w:next w:val="682"/>
    <w:uiPriority w:val="99"/>
    <w:unhideWhenUsed/>
    <w:pPr>
      <w:spacing w:after="0"/>
    </w:pPr>
  </w:style>
  <w:style w:type="paragraph" w:styleId="878" w:customStyle="1">
    <w:name w:val="ConsPlusNormal"/>
    <w:pPr>
      <w:widowControl w:val="off"/>
    </w:pPr>
    <w:rPr>
      <w:rFonts w:cs="Calibri"/>
      <w:sz w:val="22"/>
    </w:rPr>
  </w:style>
  <w:style w:type="paragraph" w:styleId="87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80" w:customStyle="1">
    <w:name w:val="ConsPlusTitle"/>
    <w:pPr>
      <w:widowControl w:val="off"/>
    </w:pPr>
    <w:rPr>
      <w:rFonts w:cs="Calibri"/>
      <w:b/>
      <w:sz w:val="22"/>
    </w:rPr>
  </w:style>
  <w:style w:type="paragraph" w:styleId="881" w:customStyle="1">
    <w:name w:val="ConsPlusCell"/>
    <w:pPr>
      <w:widowControl w:val="off"/>
    </w:pPr>
    <w:rPr>
      <w:rFonts w:ascii="Courier New" w:hAnsi="Courier New" w:cs="Courier New"/>
    </w:rPr>
  </w:style>
  <w:style w:type="paragraph" w:styleId="882" w:customStyle="1">
    <w:name w:val="ConsPlusDocList"/>
    <w:pPr>
      <w:widowControl w:val="off"/>
    </w:pPr>
    <w:rPr>
      <w:rFonts w:cs="Calibri"/>
      <w:sz w:val="22"/>
    </w:rPr>
  </w:style>
  <w:style w:type="paragraph" w:styleId="883" w:customStyle="1">
    <w:name w:val="ConsPlusTitlePage"/>
    <w:pPr>
      <w:widowControl w:val="off"/>
    </w:pPr>
    <w:rPr>
      <w:rFonts w:ascii="Tahoma" w:hAnsi="Tahoma" w:cs="Tahoma"/>
    </w:rPr>
  </w:style>
  <w:style w:type="paragraph" w:styleId="884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85" w:customStyle="1">
    <w:name w:val="ConsPlusTextList"/>
    <w:pPr>
      <w:widowControl w:val="off"/>
    </w:pPr>
    <w:rPr>
      <w:rFonts w:ascii="Arial" w:hAnsi="Arial" w:cs="Arial"/>
    </w:rPr>
  </w:style>
  <w:style w:type="paragraph" w:styleId="886">
    <w:name w:val="Balloon Text"/>
    <w:basedOn w:val="682"/>
    <w:link w:val="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rPr>
      <w:rFonts w:ascii="Segoe UI" w:hAnsi="Segoe UI" w:eastAsia="Times New Roman" w:cs="Segoe UI"/>
      <w:sz w:val="18"/>
      <w:szCs w:val="18"/>
      <w:lang w:eastAsia="en-US"/>
    </w:rPr>
  </w:style>
  <w:style w:type="character" w:styleId="888" w:customStyle="1">
    <w:name w:val="Верхний колонтитул Знак"/>
    <w:link w:val="728"/>
    <w:uiPriority w:val="99"/>
    <w:rPr>
      <w:rFonts w:eastAsia="Times New Roman"/>
      <w:sz w:val="22"/>
      <w:szCs w:val="22"/>
      <w:lang w:eastAsia="en-US"/>
    </w:rPr>
  </w:style>
  <w:style w:type="character" w:styleId="889" w:customStyle="1">
    <w:name w:val="Нижний колонтитул Знак"/>
    <w:link w:val="730"/>
    <w:rPr>
      <w:rFonts w:eastAsia="Times New Roman"/>
      <w:sz w:val="22"/>
      <w:szCs w:val="22"/>
      <w:lang w:eastAsia="en-US"/>
    </w:rPr>
  </w:style>
  <w:style w:type="character" w:styleId="890">
    <w:name w:val="annotation reference"/>
    <w:rPr>
      <w:sz w:val="16"/>
      <w:szCs w:val="16"/>
    </w:rPr>
  </w:style>
  <w:style w:type="paragraph" w:styleId="891">
    <w:name w:val="annotation text"/>
    <w:basedOn w:val="682"/>
    <w:link w:val="892"/>
    <w:rPr>
      <w:sz w:val="20"/>
      <w:szCs w:val="20"/>
    </w:rPr>
  </w:style>
  <w:style w:type="character" w:styleId="892" w:customStyle="1">
    <w:name w:val="Текст примечания Знак"/>
    <w:link w:val="891"/>
    <w:rPr>
      <w:rFonts w:eastAsia="Times New Roman"/>
      <w:lang w:eastAsia="en-US"/>
    </w:rPr>
  </w:style>
  <w:style w:type="paragraph" w:styleId="893">
    <w:name w:val="annotation subject"/>
    <w:basedOn w:val="891"/>
    <w:next w:val="891"/>
    <w:link w:val="894"/>
    <w:rPr>
      <w:b/>
      <w:bCs/>
    </w:rPr>
  </w:style>
  <w:style w:type="character" w:styleId="894" w:customStyle="1">
    <w:name w:val="Тема примечания Знак"/>
    <w:link w:val="893"/>
    <w:rPr>
      <w:rFonts w:eastAsia="Times New Roman"/>
      <w:b/>
      <w:bCs/>
      <w:lang w:eastAsia="en-US"/>
    </w:rPr>
  </w:style>
  <w:style w:type="character" w:styleId="895" w:customStyle="1">
    <w:name w:val="Текст сноски Знак"/>
    <w:link w:val="861"/>
    <w:rPr>
      <w:rFonts w:eastAsia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Пользователь</dc:creator>
  <cp:revision>8</cp:revision>
  <dcterms:created xsi:type="dcterms:W3CDTF">2024-04-01T03:35:00Z</dcterms:created>
  <dcterms:modified xsi:type="dcterms:W3CDTF">2024-10-03T08:33:55Z</dcterms:modified>
  <cp:version>1048576</cp:version>
</cp:coreProperties>
</file>