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282" cy="65734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2282" cy="657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9pt;height:51.76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72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2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2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widowControl w:val="off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ПРИКАЗ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Style w:val="872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</w:t>
        <w:tab/>
        <w:tab/>
        <w:tab/>
        <w:tab/>
        <w:tab/>
        <w:tab/>
        <w:tab/>
        <w:tab/>
        <w:tab/>
        <w:t xml:space="preserve">      </w:t>
      </w:r>
      <w:r>
        <w:rPr>
          <w:sz w:val="28"/>
          <w:szCs w:val="28"/>
        </w:rPr>
        <w:t xml:space="preserve"> № 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72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О внесении изменений в приказ министерства природных ресурсов и экологии Новосибирской области от </w:t>
      </w:r>
      <w:r>
        <w:rPr>
          <w:sz w:val="28"/>
          <w:szCs w:val="28"/>
        </w:rPr>
        <w:t xml:space="preserve">18.07.2018 № 897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72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инистерство природных ресурсов и экологии Новосибирской области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приказ </w:t>
      </w:r>
      <w:r>
        <w:rPr>
          <w:sz w:val="28"/>
          <w:szCs w:val="28"/>
        </w:rPr>
        <w:t xml:space="preserve">от </w:t>
      </w:r>
      <w:r>
        <w:rPr>
          <w:sz w:val="28"/>
          <w:szCs w:val="28"/>
        </w:rPr>
        <w:t xml:space="preserve">18.07.2018 № 897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Административного регламента министерства природных ресурсов и экологии Новосибирской области предоставления государственной услуги по организации и проведению государственной экологической экспертизы объектов регионального уровня</w:t>
      </w:r>
      <w:r>
        <w:rPr>
          <w:sz w:val="28"/>
          <w:szCs w:val="28"/>
        </w:rPr>
        <w:t xml:space="preserve">» следующие изменения: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 В пункте 5</w:t>
      </w:r>
      <w:r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 xml:space="preserve">Марченко Ю.Ю.</w:t>
      </w:r>
      <w:r>
        <w:rPr>
          <w:sz w:val="28"/>
          <w:szCs w:val="28"/>
        </w:rPr>
        <w:t xml:space="preserve">» замени</w:t>
      </w:r>
      <w:r>
        <w:rPr>
          <w:sz w:val="28"/>
          <w:szCs w:val="28"/>
        </w:rPr>
        <w:t xml:space="preserve">ть словами «Цуканова Д.А</w:t>
      </w:r>
      <w:r>
        <w:rPr>
          <w:sz w:val="28"/>
          <w:szCs w:val="28"/>
        </w:rPr>
        <w:t xml:space="preserve">.»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  <w:t xml:space="preserve">2. В </w:t>
      </w:r>
      <w:r>
        <w:rPr>
          <w:sz w:val="28"/>
          <w:szCs w:val="28"/>
        </w:rPr>
        <w:t xml:space="preserve">Административном </w:t>
      </w:r>
      <w:hyperlink r:id="rId12" w:tooltip="https://login.consultant.ru/link/?req=doc&amp;base=RLAW049&amp;n=134708&amp;dst=100016&amp;field=134&amp;date=26.09.2024" w:history="1">
        <w:r>
          <w:rPr>
            <w:sz w:val="28"/>
            <w:szCs w:val="28"/>
          </w:rPr>
          <w:t xml:space="preserve">регламенте</w:t>
        </w:r>
      </w:hyperlink>
      <w:r>
        <w:rPr>
          <w:sz w:val="28"/>
          <w:szCs w:val="28"/>
        </w:rPr>
        <w:t xml:space="preserve"> министерства природных ресурсов и экологии Новосибирской области предоставления государственной услуги по организации и проведению государственной экологической экспертизы объектов регионального уровня (далее – административный регламен</w:t>
      </w:r>
      <w:r>
        <w:rPr>
          <w:sz w:val="28"/>
          <w:szCs w:val="28"/>
        </w:rPr>
        <w:t xml:space="preserve">т):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пунк</w:t>
      </w:r>
      <w:r>
        <w:rPr>
          <w:sz w:val="28"/>
          <w:szCs w:val="28"/>
        </w:rPr>
        <w:t xml:space="preserve">т 15 изложить в следующей редакции: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15. Ср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 предоставления государствен</w:t>
      </w:r>
      <w:r>
        <w:rPr>
          <w:sz w:val="28"/>
          <w:szCs w:val="28"/>
        </w:rPr>
        <w:t xml:space="preserve">ной услуги </w:t>
      </w:r>
      <w:r>
        <w:rPr>
          <w:sz w:val="28"/>
          <w:szCs w:val="28"/>
        </w:rPr>
        <w:t xml:space="preserve">не должен превышать 42 рабочих дня </w:t>
      </w:r>
      <w:r>
        <w:rPr>
          <w:sz w:val="28"/>
          <w:szCs w:val="28"/>
        </w:rPr>
        <w:t xml:space="preserve">и может быть продлен </w:t>
      </w:r>
      <w:r>
        <w:rPr>
          <w:sz w:val="28"/>
          <w:szCs w:val="28"/>
        </w:rPr>
        <w:t xml:space="preserve">на 20 рабочих дней по заявлению </w:t>
      </w:r>
      <w:r>
        <w:rPr>
          <w:sz w:val="28"/>
          <w:szCs w:val="28"/>
        </w:rPr>
        <w:t xml:space="preserve">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направляемому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</w:t>
      </w:r>
      <w:r>
        <w:rPr>
          <w:sz w:val="28"/>
          <w:szCs w:val="28"/>
        </w:rPr>
        <w:t xml:space="preserve">я) с использованием ЕПГУ или вед</w:t>
      </w:r>
      <w:r>
        <w:rPr>
          <w:sz w:val="28"/>
          <w:szCs w:val="28"/>
        </w:rPr>
        <w:t xml:space="preserve">омственного программного ресурса в форме электронных документов, подписанных в соответствии с </w:t>
      </w:r>
      <w:r>
        <w:rPr>
          <w:sz w:val="28"/>
          <w:szCs w:val="28"/>
        </w:rPr>
        <w:t xml:space="preserve">пунктом 19</w:t>
      </w:r>
      <w:r>
        <w:rPr>
          <w:sz w:val="28"/>
          <w:szCs w:val="28"/>
        </w:rPr>
        <w:t xml:space="preserve"> насто</w:t>
      </w:r>
      <w:r>
        <w:rPr>
          <w:sz w:val="28"/>
          <w:szCs w:val="28"/>
        </w:rPr>
        <w:t xml:space="preserve">ящего </w:t>
      </w:r>
      <w:r>
        <w:rPr>
          <w:sz w:val="28"/>
          <w:szCs w:val="28"/>
        </w:rPr>
        <w:t xml:space="preserve">административного регламент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Начало срока предоставления государственной ус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луги устанавливается не позднее чем через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 рабочих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 ее оплаты и приемки представляемых материалов в полном объеме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 количестве, которые со</w:t>
      </w:r>
      <w:r>
        <w:rPr>
          <w:sz w:val="28"/>
          <w:szCs w:val="28"/>
        </w:rPr>
        <w:t xml:space="preserve">ответствуют требованиям пунктов 17 и 21 н</w:t>
      </w:r>
      <w:r>
        <w:rPr>
          <w:sz w:val="28"/>
          <w:szCs w:val="28"/>
        </w:rPr>
        <w:t xml:space="preserve">астоящего административного регламента, </w:t>
      </w:r>
      <w:r>
        <w:rPr>
          <w:sz w:val="28"/>
          <w:szCs w:val="28"/>
        </w:rPr>
        <w:t xml:space="preserve">с учетом возможности дополнительного представления материалов общественных обсуждений объекта экспертизы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  <w:t xml:space="preserve">Начало срока предоставления государ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ственной услуги не изменяется в случае, если министерство запрашивает необходимые для предоставления государственной услуги документы (сведения, содержащиеся в них) самостоятельно.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Заключение государственной экологической экспертизы с сопроводительным письмом направляется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электронной форме (за исключением случаев, если представляемые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атериалы содержат сведения, составляющие государственную тайну, и (или) относятся к служ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ебной информации ограниченного распространения) в течение 3 рабочих дней со дня его утверждения.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16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«16. </w:t>
      </w: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 действий (бездействия) министерства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 xml:space="preserve">государственных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  <w:lang w:eastAsia="ru-RU"/>
        </w:rPr>
        <w:t xml:space="preserve">министерства </w:t>
      </w:r>
      <w:r>
        <w:rPr>
          <w:sz w:val="28"/>
          <w:szCs w:val="28"/>
          <w:lang w:eastAsia="ru-RU"/>
        </w:rPr>
        <w:t xml:space="preserve">размещены на официальном сайте </w:t>
      </w:r>
      <w:r>
        <w:rPr>
          <w:sz w:val="28"/>
          <w:szCs w:val="28"/>
          <w:lang w:eastAsia="ru-RU"/>
        </w:rPr>
        <w:t xml:space="preserve">министерства</w:t>
      </w:r>
      <w:r>
        <w:rPr>
          <w:sz w:val="28"/>
          <w:szCs w:val="28"/>
          <w:lang w:eastAsia="ru-RU"/>
        </w:rPr>
        <w:t xml:space="preserve"> в сети Интернет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а также на ЕПГУ.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17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«17. Для проведения государственной экологиче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ской экспертизы объектов, указанных в статье 12 Федерального закона «Об экологической экспертизе», в том числе повторной, заявитель представляет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документы и (или) документацию, подлежащие государственной экологической экспертизе в соответствии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 статьей 14 Федерального закона «Об экологической экспертизе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 объеме, который определен в установленн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порядке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и содержащих материалы оценки воздействия на окружающую среду хозяйственной и иной деятельности, которая подлежит государственной экологической экспертизе.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доработки таких документов и (или) документации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направляются заявителем не позднее чем за 20 рабочих дней до дня окончания срока проведения государственной экологической экспертизы.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hyperlink r:id="rId13" w:tooltip="https://login.consultant.ru/link/?req=doc&amp;base=LAW&amp;n=477784&amp;dst=100010&amp;field=134&amp;date=27.09.2024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документации, документов, материалов и заключений, представляемых в составе документов и (и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ли) документации на государственную экологическую экспертизу по объектам государственной экологической экспертизы, установлен приказом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нприроды России от 08.05.2024 № 283.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19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19. 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ЕПГУ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или ведомственного программного ресурса в форме электронных документов, подписанных: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юридических лиц - усиленной квалифицированной электронной подписью или усиленной неквалифицированной электронной подписью;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физических лиц - усиленной квалифицированной электронной подписью, усиленной некв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алифицированной электронной подписью или простой электронной подписью.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абзац четвертый пункта 21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материалы обсуждений объекта государственной экологической экспертизы с гражданами,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щественными объединениями и другими негосударственными некоммерческими организациями, юридическими лицами, организованных органами местного самоуправления, органами госу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дарственной власти субъектов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если представляемые материалы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общественных обсуждений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направлены заявителем на государственную экологическую экспертизу в соо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тветствии с пунктом 6 статьи 14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едерального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закона «Об экологической экспертизе» до завершения общественных обсуждений объекта экспертизы, то материалы общественных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обсуждений,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направляются заявителем не позднее чем за 20 рабочих дней до дня окончания срока проведения государственной экологической экспертизы.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29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«29.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Основанием для отказа в предоставлении государственной услуги является: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документы и (или) документация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не явл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яются объектом государственной экологической экспертизы регионального уровня;</w:t>
      </w:r>
      <w:r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отсутствие документа, подтверждающего оплату проведения государственной экологической экспертизы,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течение 30 рабочих дней со дня получения заявителем уведомления о необходимости оплаты государственной экологической экспертизы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непредставлен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документов и (и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ли) документации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необходимых для организации и проведения государственной экологиче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ской экспертизы,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течение 30 рабочих дней со дня получения уведомления о некомплектности представляемых материалов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непредставление указанных в абзаце втором пункта 17 и абзаце пятом пункта 21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астоящего административного регламента документов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(или) документации, 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материалов общественных обсуждений,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заявителем в указанный срок;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письменное ходатайство заявителя о 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звращении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документов и (или) документации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являющейся объектом государственной экологической экспертизы регионального уровня.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32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«32.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Максимальный срок ожидания в очереди при подаче заявления о предоставлении государственной услуги и получении результата предоставления государственной услуги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 xml:space="preserve">поскольку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заявление</w:t>
      </w:r>
      <w:r>
        <w:rPr>
          <w:sz w:val="28"/>
          <w:szCs w:val="28"/>
        </w:rPr>
        <w:t xml:space="preserve"> подается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выдача результата осуществляется</w:t>
      </w:r>
      <w:r>
        <w:rPr>
          <w:sz w:val="28"/>
          <w:szCs w:val="28"/>
        </w:rPr>
        <w:t xml:space="preserve"> исключительно в электронном виде.»;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8)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33 изложить в следующей редакции: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«33.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Представляемые</w:t>
      </w:r>
      <w:r>
        <w:rPr>
          <w:sz w:val="28"/>
          <w:szCs w:val="28"/>
          <w:highlight w:val="none"/>
        </w:rPr>
        <w:t xml:space="preserve"> заявителем </w:t>
      </w:r>
      <w:r>
        <w:rPr>
          <w:sz w:val="28"/>
          <w:szCs w:val="28"/>
          <w:highlight w:val="none"/>
        </w:rPr>
        <w:t xml:space="preserve">в установленном пунктом 19 настоящего административного регламента</w:t>
      </w:r>
      <w:r>
        <w:rPr>
          <w:sz w:val="28"/>
          <w:szCs w:val="28"/>
          <w:highlight w:val="none"/>
        </w:rPr>
        <w:t xml:space="preserve"> порядке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документы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(или) документация регистрируются в течении 1 рабочего дня со дня их поступления.»;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9)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34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  <w:highlight w:val="none"/>
        </w:rPr>
        <w:t xml:space="preserve">«34. </w:t>
      </w:r>
      <w:r>
        <w:rPr>
          <w:sz w:val="28"/>
          <w:szCs w:val="28"/>
          <w:lang w:eastAsia="ru-RU"/>
        </w:rPr>
        <w:t xml:space="preserve">Помещения, в которых предос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тавляется государственная услуга, должны соответствовать следующим требованиям: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обеспечено наличие в помещениях, в которых предоставляется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государственная услуга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, информационных стендов с перечнем документов, необходимых для предоставления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помещени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я, места ожидания, места для заполнения документов, информационные стенды с перечнем документов, необходимых для предоставления </w:t>
      </w:r>
      <w:r>
        <w:rPr>
          <w:sz w:val="28"/>
          <w:szCs w:val="28"/>
          <w:lang w:eastAsia="ru-RU"/>
        </w:rPr>
        <w:t xml:space="preserve">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, должны быть доступны для инвалидов в соответствии с законодательством Российской Федерации о социальной защите инвалидов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10)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35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  <w:highlight w:val="none"/>
        </w:rPr>
        <w:t xml:space="preserve">«35. </w:t>
      </w:r>
      <w:r>
        <w:rPr>
          <w:sz w:val="28"/>
          <w:szCs w:val="28"/>
          <w:lang w:eastAsia="ru-RU"/>
        </w:rPr>
        <w:t xml:space="preserve">К показателям доступности предоставления </w:t>
      </w:r>
      <w:r>
        <w:rPr>
          <w:sz w:val="28"/>
          <w:szCs w:val="28"/>
          <w:lang w:eastAsia="ru-RU"/>
        </w:rPr>
        <w:t xml:space="preserve">государственной услуги</w:t>
      </w:r>
      <w:r>
        <w:rPr>
          <w:sz w:val="28"/>
          <w:szCs w:val="28"/>
          <w:lang w:eastAsia="ru-RU"/>
        </w:rPr>
        <w:t xml:space="preserve"> относятся </w:t>
      </w:r>
      <w:r>
        <w:rPr>
          <w:sz w:val="28"/>
          <w:szCs w:val="28"/>
          <w:lang w:val="en-US"/>
        </w:rPr>
        <w:t xml:space="preserve">возможность подачи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документов и (и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ли) документации</w:t>
      </w:r>
      <w:r>
        <w:rPr>
          <w:sz w:val="28"/>
          <w:szCs w:val="28"/>
          <w:lang w:val="en-US"/>
        </w:rPr>
        <w:t xml:space="preserve"> на получение </w:t>
      </w:r>
      <w:r>
        <w:rPr>
          <w:sz w:val="28"/>
          <w:szCs w:val="28"/>
          <w:lang w:eastAsia="ru-RU"/>
        </w:rPr>
        <w:t xml:space="preserve">государственной услуги</w:t>
      </w:r>
      <w:r>
        <w:rPr>
          <w:sz w:val="28"/>
          <w:szCs w:val="28"/>
          <w:lang w:val="en-US"/>
        </w:rPr>
        <w:t xml:space="preserve"> в электронной форме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.»;</w:t>
      </w:r>
      <w:r>
        <w:rPr>
          <w:sz w:val="28"/>
          <w:szCs w:val="28"/>
          <w:lang w:eastAsia="ru-RU"/>
          <w14:ligatures w14:val="none"/>
        </w:rPr>
      </w:r>
      <w:r>
        <w:rPr>
          <w:sz w:val="28"/>
          <w:szCs w:val="28"/>
          <w:lang w:eastAsia="ru-RU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val="en-US"/>
          <w14:ligatures w14:val="none"/>
        </w:rPr>
        <w:t xml:space="preserve">11)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36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  <w:highlight w:val="none"/>
        </w:rPr>
        <w:t xml:space="preserve">«36. </w:t>
      </w:r>
      <w:r>
        <w:rPr>
          <w:sz w:val="28"/>
          <w:szCs w:val="28"/>
          <w:lang w:eastAsia="ru-RU"/>
        </w:rPr>
        <w:t xml:space="preserve">К показателя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 качества предоставления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относятся: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отсутствие нарушений сроков предоставления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отсутствие заявлений об оспаривании решений, действий (бездействия) министерства, его должностных лиц, принимаемых (совершенных) при предоставлении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, по итогам рассмотрения которых вынесены решения об удовлетворении требований заявителей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пункты 36.1, 36.2 исключить;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37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«37.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Представляемые материалы направляются в электронной форме (за исключением случаев, если таки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ЕПГУ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или ведомственного программного ресурса в форме электронных документов, подписанных: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юридических лиц - усиленной квалифицированной электронной подписью или усиленной неквалифицированной электронной подписью;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физических лиц - усиленной квалифицированной электронной подписью, усиленной некв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алифицированной электронной подписью или простой электронной подписью.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14)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38 исключить;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абзац первый пункта 42 исключить;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44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  <w:highlight w:val="none"/>
        </w:rPr>
        <w:t xml:space="preserve">«44. </w:t>
      </w:r>
      <w:r>
        <w:rPr>
          <w:sz w:val="28"/>
          <w:szCs w:val="28"/>
          <w:highlight w:val="none"/>
        </w:rPr>
        <w:t xml:space="preserve">Заявители имеют право направить заявление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документы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(или) документацию </w:t>
      </w:r>
      <w:r>
        <w:rPr>
          <w:sz w:val="28"/>
          <w:szCs w:val="28"/>
          <w:highlight w:val="none"/>
        </w:rPr>
        <w:t xml:space="preserve">в электронной форме с соблюдением требований пункта 37 настоящего административного регламента.»;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17)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пункты 45, 46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18)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51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  <w:highlight w:val="none"/>
        </w:rPr>
        <w:t xml:space="preserve">«51. </w:t>
      </w:r>
      <w:r>
        <w:rPr>
          <w:sz w:val="28"/>
          <w:szCs w:val="28"/>
          <w:highlight w:val="none"/>
        </w:rPr>
        <w:t xml:space="preserve">При обнаружении несоответ</w:t>
      </w:r>
      <w:r>
        <w:rPr>
          <w:sz w:val="28"/>
          <w:szCs w:val="28"/>
          <w:highlight w:val="none"/>
        </w:rPr>
        <w:t xml:space="preserve">ствия представленных материалов заявителя требованиям пункта 17 настоящего административного регламента ответственный исполнитель готовит уведомление в адрес заявителя </w:t>
      </w:r>
      <w:r>
        <w:rPr>
          <w:sz w:val="28"/>
          <w:szCs w:val="28"/>
          <w:highlight w:val="none"/>
        </w:rPr>
        <w:t xml:space="preserve">о некомплектности представляемых материалов с указанием недостающих документации, документов, материалов и заключений, необходимых для проведения государственной экологической экспертизы в соответствии со статьей 14 Ф</w:t>
      </w:r>
      <w:r>
        <w:rPr>
          <w:sz w:val="28"/>
          <w:szCs w:val="28"/>
          <w:highlight w:val="none"/>
        </w:rPr>
        <w:t xml:space="preserve">едерального закона «Об экологической экспертизе», а также о необходимости представления указанных документации, документов, материалов и заключений в полном объеме в срок, не превышающий 30 рабочих дней со дня получения уведомления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Уведомление подписывается министром природных ресурсов и экологии Новосибирской области (далее - министр) или уполномоченным им лицом </w:t>
      </w:r>
      <w:r>
        <w:rPr>
          <w:sz w:val="28"/>
          <w:szCs w:val="28"/>
          <w:highlight w:val="none"/>
        </w:rPr>
        <w:t xml:space="preserve">и направляется заявителю в форме электронного документа посредством использования ЕПГ</w:t>
      </w:r>
      <w:r>
        <w:rPr>
          <w:sz w:val="28"/>
          <w:szCs w:val="28"/>
          <w:highlight w:val="none"/>
        </w:rPr>
        <w:t xml:space="preserve">У или ведомственного программного ресурса (за исключением случаев, если представляемые материалы содержат сведения, составляющие государственную тайну, и (или) относятся </w:t>
      </w:r>
      <w:r>
        <w:rPr>
          <w:sz w:val="28"/>
          <w:szCs w:val="28"/>
          <w:highlight w:val="none"/>
        </w:rPr>
        <w:t xml:space="preserve">к служебной информации ограниченного распространения) </w:t>
      </w:r>
      <w:r>
        <w:rPr>
          <w:sz w:val="28"/>
          <w:szCs w:val="28"/>
          <w:highlight w:val="none"/>
        </w:rPr>
        <w:t xml:space="preserve">в течение 5 рабочих дней со дня регистрации представляемых материалов.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19) </w:t>
      </w:r>
      <w:r>
        <w:rPr>
          <w:sz w:val="28"/>
          <w:szCs w:val="28"/>
          <w:highlight w:val="none"/>
        </w:rPr>
        <w:t xml:space="preserve">в пункте 52: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абзаце первом </w:t>
      </w:r>
      <w:r>
        <w:rPr>
          <w:sz w:val="28"/>
          <w:szCs w:val="28"/>
          <w:highlight w:val="none"/>
        </w:rPr>
        <w:t xml:space="preserve">слова «</w:t>
      </w:r>
      <w:r>
        <w:rPr>
          <w:sz w:val="28"/>
          <w:szCs w:val="28"/>
          <w:highlight w:val="none"/>
        </w:rPr>
        <w:t xml:space="preserve">(приложение 6 к настоящему административному регламенту)</w:t>
      </w:r>
      <w:r>
        <w:rPr>
          <w:sz w:val="28"/>
          <w:szCs w:val="28"/>
          <w:highlight w:val="none"/>
        </w:rPr>
        <w:t xml:space="preserve">» 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абзац второй </w:t>
      </w:r>
      <w:r>
        <w:rPr>
          <w:sz w:val="28"/>
          <w:szCs w:val="28"/>
          <w:highlight w:val="none"/>
        </w:rPr>
        <w:t xml:space="preserve">излож</w:t>
      </w:r>
      <w:r>
        <w:rPr>
          <w:sz w:val="28"/>
          <w:szCs w:val="28"/>
        </w:rPr>
        <w:t xml:space="preserve">ить в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Уведомление </w:t>
      </w:r>
      <w:r>
        <w:rPr>
          <w:sz w:val="28"/>
          <w:szCs w:val="28"/>
          <w:highlight w:val="none"/>
        </w:rPr>
        <w:t xml:space="preserve">об отказе в предоставлении государственной услуги в связи с некомплектностью</w:t>
      </w:r>
      <w:r>
        <w:rPr>
          <w:sz w:val="28"/>
          <w:szCs w:val="28"/>
          <w:highlight w:val="none"/>
        </w:rPr>
        <w:t xml:space="preserve"> подписывается министром или уполномоченным им лицом </w:t>
      </w:r>
      <w:r>
        <w:rPr>
          <w:sz w:val="28"/>
          <w:szCs w:val="28"/>
          <w:highlight w:val="none"/>
        </w:rPr>
        <w:t xml:space="preserve">и направляется заявителю в форме электронного документа посредством использования ЕПГУ или ведомственного программного ресурса (за исключением случаев, если пре</w:t>
      </w:r>
      <w:r>
        <w:rPr>
          <w:sz w:val="28"/>
          <w:szCs w:val="28"/>
          <w:highlight w:val="none"/>
        </w:rPr>
        <w:t xml:space="preserve">дставляемые материалы содержат сведения, составляющие государственную тайну, и (или) относятся </w:t>
      </w:r>
      <w:r>
        <w:rPr>
          <w:sz w:val="28"/>
          <w:szCs w:val="28"/>
          <w:highlight w:val="none"/>
        </w:rPr>
        <w:t xml:space="preserve">к служебной информации ограниченного распространения)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течение 5 рабочих дней по истечении срока</w:t>
      </w:r>
      <w:r>
        <w:rPr>
          <w:sz w:val="28"/>
          <w:szCs w:val="28"/>
          <w:highlight w:val="none"/>
        </w:rPr>
        <w:t xml:space="preserve"> указанного </w:t>
      </w:r>
      <w:r>
        <w:rPr>
          <w:sz w:val="28"/>
          <w:szCs w:val="28"/>
          <w:highlight w:val="none"/>
        </w:rPr>
        <w:t xml:space="preserve">в абзаце первом</w:t>
      </w:r>
      <w:r>
        <w:rPr>
          <w:sz w:val="28"/>
          <w:szCs w:val="28"/>
          <w:highlight w:val="none"/>
        </w:rPr>
        <w:t xml:space="preserve"> пункта 51 настоящего административного регламента.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20) </w:t>
      </w:r>
      <w:r>
        <w:rPr>
          <w:sz w:val="28"/>
          <w:szCs w:val="28"/>
          <w:highlight w:val="none"/>
        </w:rPr>
        <w:t xml:space="preserve">в пункте 53: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абзаце первом </w:t>
      </w:r>
      <w:r>
        <w:rPr>
          <w:sz w:val="28"/>
          <w:szCs w:val="28"/>
          <w:highlight w:val="none"/>
        </w:rPr>
        <w:t xml:space="preserve">слова «</w:t>
      </w:r>
      <w:r>
        <w:rPr>
          <w:sz w:val="28"/>
          <w:szCs w:val="28"/>
          <w:highlight w:val="none"/>
        </w:rPr>
        <w:t xml:space="preserve">(приложение 5 к настоящему административному регламенту)» и</w:t>
      </w:r>
      <w:r>
        <w:rPr>
          <w:sz w:val="28"/>
          <w:szCs w:val="28"/>
          <w:highlight w:val="none"/>
        </w:rPr>
        <w:t xml:space="preserve">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абзац второй </w:t>
      </w:r>
      <w:r>
        <w:rPr>
          <w:sz w:val="28"/>
          <w:szCs w:val="28"/>
          <w:highlight w:val="none"/>
        </w:rPr>
        <w:t xml:space="preserve">изложить в с</w:t>
      </w:r>
      <w:r>
        <w:rPr>
          <w:sz w:val="28"/>
          <w:szCs w:val="28"/>
          <w:highlight w:val="none"/>
        </w:rPr>
        <w:t xml:space="preserve">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Уведомление </w:t>
      </w:r>
      <w:r>
        <w:rPr>
          <w:sz w:val="28"/>
          <w:szCs w:val="28"/>
          <w:highlight w:val="none"/>
        </w:rPr>
        <w:t xml:space="preserve">подписывается министром или уполномоченным им лицом </w:t>
      </w:r>
      <w:r>
        <w:rPr>
          <w:sz w:val="28"/>
          <w:szCs w:val="28"/>
          <w:highlight w:val="none"/>
        </w:rPr>
        <w:t xml:space="preserve">и направляется заявителю в форме электронного документа посредством использования ЕПГУ или ведомственного программного ресурса (за исключением случаев, если представляемые материалы содержат сведения, составляющие государственную тайну, и (или) относятся </w:t>
      </w:r>
      <w:r>
        <w:rPr>
          <w:sz w:val="28"/>
          <w:szCs w:val="28"/>
          <w:highlight w:val="none"/>
        </w:rPr>
        <w:t xml:space="preserve">к служебной информации ограниченного распространения) </w:t>
      </w:r>
      <w:r>
        <w:rPr>
          <w:sz w:val="28"/>
          <w:szCs w:val="28"/>
          <w:highlight w:val="none"/>
        </w:rPr>
        <w:t xml:space="preserve">в течение 5 рабочих дней со дня регистрации представляемых материалов.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21) </w:t>
      </w:r>
      <w:r>
        <w:rPr>
          <w:sz w:val="28"/>
          <w:szCs w:val="28"/>
          <w:highlight w:val="none"/>
        </w:rPr>
        <w:t xml:space="preserve">пункт 54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«54. </w:t>
      </w:r>
      <w:r>
        <w:rPr>
          <w:sz w:val="28"/>
          <w:szCs w:val="28"/>
          <w:highlight w:val="none"/>
        </w:rPr>
        <w:t xml:space="preserve">При отсутствии опла</w:t>
      </w:r>
      <w:r>
        <w:rPr>
          <w:sz w:val="28"/>
          <w:szCs w:val="28"/>
          <w:highlight w:val="none"/>
        </w:rPr>
        <w:t xml:space="preserve">ты проведения государственной услуги в течение 30 рабочих дней со дня получения уведомления о необходимости оплаты </w:t>
      </w:r>
      <w:r>
        <w:rPr>
          <w:sz w:val="28"/>
          <w:szCs w:val="28"/>
          <w:highlight w:val="none"/>
        </w:rPr>
        <w:t xml:space="preserve">государственная экологическая экспертиза не проводится, представленные материалы возвращаются заявителю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Уведомление </w:t>
      </w:r>
      <w:r>
        <w:rPr>
          <w:sz w:val="28"/>
          <w:szCs w:val="28"/>
          <w:highlight w:val="none"/>
        </w:rPr>
        <w:t xml:space="preserve">об отказе в предоставлении государственной услуги в связи с неоплатой</w:t>
      </w:r>
      <w:r>
        <w:rPr>
          <w:sz w:val="28"/>
          <w:szCs w:val="28"/>
          <w:highlight w:val="none"/>
        </w:rPr>
        <w:t xml:space="preserve"> подписывается министром или уполномоченным им лицом </w:t>
      </w:r>
      <w:r>
        <w:rPr>
          <w:sz w:val="28"/>
          <w:szCs w:val="28"/>
          <w:highlight w:val="none"/>
        </w:rPr>
        <w:t xml:space="preserve">и направляется заявителю в форме электронного документа посредством использования ЕПГУ или ведомственного программного ресурса (за исключением случаев, если представляемые материалы содержат сведения, составляющие государственну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ю тайну, и (или) относятся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 служебной информации ограниченного распространения)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течение 5 рабочих дней по истечении срока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указанного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абзаце первом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настоящего пункта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22)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дополнить пунктом 54.1 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«54.1. При представлении заявителем материалов направленных на государственную экологическую экспертизу в соответствии с пунктом 6 статьи 14 Федерального закона «Об экологической экспертизе» до завершения общественных обсуждений объекта экспертизы, то мате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риалы общественных обсуждений, предусмотренные абзацем пятым пункта 21 настоящего административного регламента, а также документы и (или) документация, предусмотренные абзацем вторым пункта 17 настоящего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(в случае доработки таких документов и (или) документации), направляются заявителем не позднее чем за 20 рабочих дней до дня окончания срока проведения государственной экологической экспертизы.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непредставления указанных в абзаце первом настоящего пункта документов и (или) документации заявителем в указанный срок заявителю отказывается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проведении государственной экологической экспертизы. При этом указанные в пункте 31 настоящего административного регламента уплаченные за проведение государственной экологической эк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спертизы денежные средства возврату не подлежат.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Отказ в предоставлении государственной услуги, предусмотренный абзацем вторым настоящего пункта,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утверждается приказом (решением)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министра или уполномоченного им лица.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Уведомление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подписывается министром ил</w:t>
      </w:r>
      <w:r>
        <w:rPr>
          <w:sz w:val="28"/>
          <w:szCs w:val="28"/>
          <w:highlight w:val="none"/>
        </w:rPr>
        <w:t xml:space="preserve">и уполномоченным им лицом </w:t>
      </w:r>
      <w:r>
        <w:rPr>
          <w:sz w:val="28"/>
          <w:szCs w:val="28"/>
          <w:highlight w:val="none"/>
        </w:rPr>
        <w:t xml:space="preserve">и направляется заявителю в форме электронного документа посредством использования ЕПГУ или ведомственного программного ресурса (за исключением случаев, если представляемые материалы содержат све</w:t>
      </w:r>
      <w:r>
        <w:rPr>
          <w:sz w:val="28"/>
          <w:szCs w:val="28"/>
          <w:highlight w:val="none"/>
        </w:rPr>
        <w:t xml:space="preserve">дения, составляющие государственную тайну, и (или) относятся </w:t>
      </w:r>
      <w:r>
        <w:rPr>
          <w:sz w:val="28"/>
          <w:szCs w:val="28"/>
          <w:highlight w:val="none"/>
        </w:rPr>
        <w:t xml:space="preserve">к служебной информации ограниченного распространения)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течение 3 рабочих дней </w:t>
      </w:r>
      <w:r>
        <w:rPr>
          <w:sz w:val="28"/>
          <w:szCs w:val="28"/>
          <w:highlight w:val="none"/>
        </w:rPr>
        <w:t xml:space="preserve">со дня утверждения приказа (решения), предусмотренного абзацем третьим настоящего пункта.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23) абзац второй пункта 60</w:t>
      </w:r>
      <w:r>
        <w:rPr>
          <w:sz w:val="28"/>
          <w:szCs w:val="28"/>
          <w:highlight w:val="none"/>
        </w:rPr>
        <w:t xml:space="preserve"> изложить в следующей редакц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Начало с</w:t>
      </w:r>
      <w:r>
        <w:rPr>
          <w:sz w:val="28"/>
          <w:szCs w:val="28"/>
          <w:highlight w:val="none"/>
        </w:rPr>
        <w:t xml:space="preserve">рока проведения государственной экологической экспертизы устанавливается не позднее чем через 5 рабочих дней после внесения оплаты за проведение государственной экологической экспертизы и приемки комплекта необходимых материалов и документов в полном объем</w:t>
      </w:r>
      <w:r>
        <w:rPr>
          <w:sz w:val="28"/>
          <w:szCs w:val="28"/>
          <w:highlight w:val="none"/>
        </w:rPr>
        <w:t xml:space="preserve">е и в количестве, которые соответствуют требованиям пунктов 17, 21 настоящего административного регламента, </w:t>
      </w:r>
      <w:r>
        <w:rPr>
          <w:sz w:val="28"/>
          <w:szCs w:val="28"/>
          <w:highlight w:val="none"/>
        </w:rPr>
        <w:t xml:space="preserve">с учетом возможности дополнительного представления материалов общественных обсуждений объекта экспертизы 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абзацем 4 пункта 21</w:t>
      </w:r>
      <w:r>
        <w:rPr>
          <w:sz w:val="28"/>
          <w:szCs w:val="28"/>
          <w:highlight w:val="none"/>
        </w:rPr>
        <w:t xml:space="preserve"> настоящего административного регламента.»;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24)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абзаце пятом </w:t>
      </w:r>
      <w:r>
        <w:rPr>
          <w:sz w:val="28"/>
          <w:szCs w:val="28"/>
        </w:rPr>
        <w:t xml:space="preserve">пункта 65 слова «</w:t>
      </w:r>
      <w:r>
        <w:rPr>
          <w:sz w:val="28"/>
          <w:szCs w:val="28"/>
        </w:rPr>
        <w:t xml:space="preserve">(приложение 22 к настоящему административному регламенту)</w:t>
      </w:r>
      <w:r>
        <w:rPr>
          <w:sz w:val="28"/>
          <w:szCs w:val="28"/>
        </w:rPr>
        <w:t xml:space="preserve">» заменить словами «в соответствии с требованиями, установленными </w:t>
      </w:r>
      <w:r>
        <w:rPr>
          <w:sz w:val="28"/>
          <w:szCs w:val="28"/>
        </w:rPr>
        <w:t xml:space="preserve">приказом Минприроды России от 22.07.2024 № 463 «</w:t>
      </w:r>
      <w:r>
        <w:rPr>
          <w:sz w:val="28"/>
          <w:szCs w:val="28"/>
        </w:rPr>
        <w:t xml:space="preserve">Об утверждении состава и содержания заключения государственной экологической экспертизы</w:t>
      </w:r>
      <w:r>
        <w:rPr>
          <w:sz w:val="28"/>
          <w:szCs w:val="28"/>
        </w:rPr>
        <w:t xml:space="preserve">»»;</w:t>
      </w:r>
      <w:r>
        <w:rPr>
          <w:sz w:val="28"/>
          <w:szCs w:val="28"/>
        </w:rPr>
      </w:r>
      <w:r/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25) в абзаце первом </w:t>
      </w:r>
      <w:r>
        <w:rPr>
          <w:sz w:val="28"/>
          <w:szCs w:val="28"/>
        </w:rPr>
        <w:t xml:space="preserve">пункта 66 слова «</w:t>
      </w:r>
      <w:r>
        <w:rPr>
          <w:sz w:val="28"/>
          <w:szCs w:val="28"/>
        </w:rPr>
        <w:t xml:space="preserve">(приложения 15, 16, 17, 18, 19 к настоящему административному регламенту)</w:t>
      </w:r>
      <w:r>
        <w:rPr>
          <w:sz w:val="28"/>
          <w:szCs w:val="28"/>
        </w:rPr>
        <w:t xml:space="preserve">» 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26) </w:t>
      </w:r>
      <w:r>
        <w:rPr>
          <w:sz w:val="28"/>
          <w:szCs w:val="28"/>
          <w:highlight w:val="none"/>
        </w:rPr>
        <w:t xml:space="preserve">пункт 77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  <w14:ligatures w14:val="none"/>
        </w:rPr>
        <w:t xml:space="preserve">77. </w:t>
      </w:r>
      <w:r>
        <w:rPr>
          <w:sz w:val="28"/>
          <w:szCs w:val="28"/>
          <w:highlight w:val="none"/>
          <w14:ligatures w14:val="none"/>
        </w:rPr>
        <w:t xml:space="preserve">После утверждения приказом министерства заключения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государственной экологической экспертизы оно с сопроводительным письмом направляется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заявителю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электронной форме (за исключением случаев, если представляемые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атериалы содержат сведения, составляющие государственную тайну, и (или) относятся к служ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ебной информации ограниченного распространения) в течение 3 рабочих дней со дня его утверждения.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27) </w:t>
      </w:r>
      <w:r>
        <w:rPr>
          <w:sz w:val="28"/>
          <w:szCs w:val="28"/>
          <w:highlight w:val="none"/>
          <w14:ligatures w14:val="none"/>
        </w:rPr>
        <w:t xml:space="preserve">в приложении 11 к административно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 регламенту в преамбуле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Положением о порядке проведения государственной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экологической экспертизы, утвержденным постановлением Правительства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 от 07.11.2020 № 1796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Положением о проведении государственной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экологической экспертизы, утвержденным постановлением Правительства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 от 28.05.2024 № 694»;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28) 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риложения 3, 4, 5, 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7, 15, 16, 17, 18, 19, 22, 24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административному регламенту исключить.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 Контроль за исполне</w:t>
      </w:r>
      <w:r>
        <w:rPr>
          <w:sz w:val="28"/>
          <w:szCs w:val="28"/>
        </w:rPr>
        <w:t xml:space="preserve">нием настоящего приказа возложить на заместителя министра Цуканова Д.А.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72"/>
        <w:contextualSpacing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инистр</w:t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 xml:space="preserve">Е.А. Шестернин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widowControl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pStyle w:val="891"/>
      <w:isLgl w:val="false"/>
      <w:suff w:val="tab"/>
      <w:lvlText w:val="%1.%2."/>
      <w:lvlJc w:val="left"/>
      <w:pPr>
        <w:ind w:left="907" w:hanging="550"/>
        <w:tabs>
          <w:tab w:val="num" w:pos="907" w:leader="none"/>
        </w:tabs>
      </w:pPr>
      <w:rPr>
        <w:rFonts w:ascii="Verdana" w:hAnsi="Verdana"/>
        <w:sz w:val="18"/>
      </w:rPr>
    </w:lvl>
    <w:lvl w:ilvl="2">
      <w:start w:val="1"/>
      <w:numFmt w:val="decimal"/>
      <w:pStyle w:val="890"/>
      <w:isLgl w:val="false"/>
      <w:suff w:val="tab"/>
      <w:lvlText w:val="%1.%2.%3."/>
      <w:lvlJc w:val="left"/>
      <w:pPr>
        <w:ind w:left="1588" w:hanging="681"/>
        <w:tabs>
          <w:tab w:val="num" w:pos="1588" w:leader="none"/>
        </w:tabs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38" w:hanging="850"/>
        <w:tabs>
          <w:tab w:val="num" w:pos="2438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2"/>
    <w:next w:val="872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2"/>
    <w:next w:val="872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2"/>
    <w:next w:val="872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2"/>
    <w:next w:val="872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2"/>
    <w:next w:val="872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2"/>
    <w:uiPriority w:val="34"/>
    <w:qFormat/>
    <w:pPr>
      <w:contextualSpacing/>
      <w:ind w:left="720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lang w:val="ru-RU" w:eastAsia="ru-RU" w:bidi="ar-SA"/>
    </w:rPr>
  </w:style>
  <w:style w:type="paragraph" w:styleId="873">
    <w:name w:val="Заголовок 1"/>
    <w:basedOn w:val="872"/>
    <w:next w:val="872"/>
    <w:link w:val="872"/>
    <w:qFormat/>
    <w:pPr>
      <w:jc w:val="center"/>
      <w:keepNext/>
      <w:outlineLvl w:val="0"/>
    </w:pPr>
    <w:rPr>
      <w:sz w:val="28"/>
      <w:szCs w:val="24"/>
    </w:rPr>
  </w:style>
  <w:style w:type="paragraph" w:styleId="874">
    <w:name w:val="Заголовок 4"/>
    <w:basedOn w:val="872"/>
    <w:next w:val="872"/>
    <w:link w:val="872"/>
    <w:qFormat/>
    <w:pPr>
      <w:jc w:val="right"/>
      <w:keepNext/>
      <w:outlineLvl w:val="3"/>
    </w:pPr>
    <w:rPr>
      <w:sz w:val="28"/>
      <w:szCs w:val="24"/>
    </w:rPr>
  </w:style>
  <w:style w:type="character" w:styleId="875">
    <w:name w:val="Основной шрифт абзаца"/>
    <w:next w:val="875"/>
    <w:link w:val="872"/>
    <w:semiHidden/>
  </w:style>
  <w:style w:type="table" w:styleId="876">
    <w:name w:val="Обычная таблица"/>
    <w:next w:val="876"/>
    <w:link w:val="872"/>
    <w:uiPriority w:val="99"/>
    <w:semiHidden/>
    <w:unhideWhenUsed/>
    <w:tblPr/>
  </w:style>
  <w:style w:type="numbering" w:styleId="877">
    <w:name w:val="Нет списка"/>
    <w:next w:val="877"/>
    <w:link w:val="872"/>
    <w:uiPriority w:val="99"/>
    <w:semiHidden/>
    <w:unhideWhenUsed/>
  </w:style>
  <w:style w:type="paragraph" w:styleId="878">
    <w:name w:val="Верхний колонтитул"/>
    <w:basedOn w:val="872"/>
    <w:next w:val="878"/>
    <w:link w:val="872"/>
    <w:pPr>
      <w:jc w:val="both"/>
      <w:tabs>
        <w:tab w:val="center" w:pos="4153" w:leader="none"/>
        <w:tab w:val="right" w:pos="8306" w:leader="none"/>
      </w:tabs>
    </w:pPr>
    <w:rPr>
      <w:sz w:val="28"/>
      <w:szCs w:val="28"/>
    </w:rPr>
  </w:style>
  <w:style w:type="paragraph" w:styleId="879">
    <w:name w:val="Основной текст"/>
    <w:basedOn w:val="872"/>
    <w:next w:val="879"/>
    <w:link w:val="872"/>
    <w:semiHidden/>
    <w:pPr>
      <w:jc w:val="center"/>
      <w:spacing w:line="360" w:lineRule="auto"/>
    </w:pPr>
    <w:rPr>
      <w:b/>
      <w:bCs/>
      <w:sz w:val="28"/>
      <w:szCs w:val="26"/>
    </w:rPr>
  </w:style>
  <w:style w:type="paragraph" w:styleId="880">
    <w:name w:val="Основной текст 2"/>
    <w:basedOn w:val="872"/>
    <w:next w:val="880"/>
    <w:link w:val="901"/>
    <w:semiHidden/>
    <w:rPr>
      <w:sz w:val="28"/>
      <w:szCs w:val="24"/>
    </w:rPr>
  </w:style>
  <w:style w:type="paragraph" w:styleId="881">
    <w:name w:val="Основной текст с отступом 2"/>
    <w:basedOn w:val="872"/>
    <w:next w:val="881"/>
    <w:link w:val="872"/>
    <w:semiHidden/>
    <w:pPr>
      <w:ind w:firstLine="708"/>
      <w:jc w:val="both"/>
    </w:pPr>
    <w:rPr>
      <w:sz w:val="28"/>
      <w:szCs w:val="24"/>
    </w:rPr>
  </w:style>
  <w:style w:type="paragraph" w:styleId="882">
    <w:name w:val="Heading"/>
    <w:next w:val="882"/>
    <w:link w:val="872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883">
    <w:name w:val="Текст выноски"/>
    <w:basedOn w:val="872"/>
    <w:next w:val="883"/>
    <w:link w:val="884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84">
    <w:name w:val="Текст выноски Знак"/>
    <w:next w:val="884"/>
    <w:link w:val="883"/>
    <w:uiPriority w:val="99"/>
    <w:semiHidden/>
    <w:rPr>
      <w:rFonts w:ascii="Tahoma" w:hAnsi="Tahoma" w:cs="Tahoma"/>
      <w:sz w:val="16"/>
      <w:szCs w:val="16"/>
    </w:rPr>
  </w:style>
  <w:style w:type="paragraph" w:styleId="885">
    <w:name w:val="ConsPlusTitle"/>
    <w:next w:val="885"/>
    <w:link w:val="872"/>
    <w:uiPriority w:val="99"/>
    <w:pPr>
      <w:widowControl w:val="off"/>
    </w:pPr>
    <w:rPr>
      <w:b/>
      <w:bCs/>
      <w:sz w:val="28"/>
      <w:szCs w:val="28"/>
      <w:lang w:val="ru-RU" w:eastAsia="ru-RU" w:bidi="ar-SA"/>
    </w:rPr>
  </w:style>
  <w:style w:type="character" w:styleId="886">
    <w:name w:val="Гиперссылка"/>
    <w:next w:val="886"/>
    <w:link w:val="872"/>
    <w:rPr>
      <w:color w:val="496dac"/>
      <w:u w:val="none"/>
    </w:rPr>
  </w:style>
  <w:style w:type="paragraph" w:styleId="887">
    <w:name w:val="ConsPlusNormal"/>
    <w:next w:val="887"/>
    <w:link w:val="872"/>
    <w:pPr>
      <w:ind w:firstLine="720"/>
    </w:pPr>
    <w:rPr>
      <w:rFonts w:ascii="Arial" w:hAnsi="Arial" w:cs="Arial"/>
      <w:lang w:val="ru-RU" w:eastAsia="ru-RU" w:bidi="ar-SA"/>
    </w:rPr>
  </w:style>
  <w:style w:type="paragraph" w:styleId="888">
    <w:name w:val="ConsNormal"/>
    <w:next w:val="888"/>
    <w:link w:val="872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character" w:styleId="889">
    <w:name w:val="Строгий"/>
    <w:next w:val="889"/>
    <w:link w:val="872"/>
    <w:qFormat/>
    <w:rPr>
      <w:b/>
      <w:bCs/>
    </w:rPr>
  </w:style>
  <w:style w:type="paragraph" w:styleId="890">
    <w:name w:val="8 пт (нум. список)"/>
    <w:basedOn w:val="872"/>
    <w:next w:val="890"/>
    <w:link w:val="872"/>
    <w:semiHidden/>
    <w:pPr>
      <w:numPr>
        <w:ilvl w:val="2"/>
        <w:numId w:val="1"/>
      </w:numPr>
      <w:jc w:val="both"/>
      <w:spacing w:before="40" w:after="40"/>
    </w:pPr>
    <w:rPr>
      <w:sz w:val="16"/>
      <w:szCs w:val="24"/>
      <w:lang w:val="en-US"/>
    </w:rPr>
  </w:style>
  <w:style w:type="paragraph" w:styleId="891">
    <w:name w:val="9 пт (нум. список)"/>
    <w:basedOn w:val="872"/>
    <w:next w:val="891"/>
    <w:link w:val="872"/>
    <w:semiHidden/>
    <w:pPr>
      <w:numPr>
        <w:ilvl w:val="1"/>
        <w:numId w:val="1"/>
      </w:numPr>
      <w:jc w:val="both"/>
      <w:spacing w:before="144" w:after="144"/>
    </w:pPr>
    <w:rPr>
      <w:sz w:val="24"/>
      <w:szCs w:val="24"/>
    </w:rPr>
  </w:style>
  <w:style w:type="paragraph" w:styleId="892">
    <w:name w:val="Number List"/>
    <w:basedOn w:val="872"/>
    <w:next w:val="892"/>
    <w:link w:val="872"/>
    <w:pPr>
      <w:numPr>
        <w:ilvl w:val="0"/>
        <w:numId w:val="1"/>
      </w:numPr>
      <w:jc w:val="both"/>
      <w:spacing w:before="120"/>
    </w:pPr>
    <w:rPr>
      <w:sz w:val="24"/>
      <w:szCs w:val="24"/>
    </w:rPr>
  </w:style>
  <w:style w:type="paragraph" w:styleId="893">
    <w:name w:val="Обычный (веб)"/>
    <w:basedOn w:val="872"/>
    <w:next w:val="893"/>
    <w:link w:val="872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94">
    <w:name w:val="No Spacing"/>
    <w:next w:val="894"/>
    <w:link w:val="872"/>
    <w:rPr>
      <w:sz w:val="22"/>
      <w:szCs w:val="22"/>
      <w:lang w:val="ru-RU" w:eastAsia="en-US" w:bidi="ar-SA"/>
    </w:rPr>
  </w:style>
  <w:style w:type="paragraph" w:styleId="895">
    <w:name w:val="ConsPlusNonformat"/>
    <w:next w:val="895"/>
    <w:link w:val="872"/>
    <w:rPr>
      <w:rFonts w:ascii="Courier New" w:hAnsi="Courier New" w:cs="Courier New"/>
      <w:lang w:val="ru-RU" w:eastAsia="ru-RU" w:bidi="ar-SA"/>
    </w:rPr>
  </w:style>
  <w:style w:type="paragraph" w:styleId="896">
    <w:name w:val="Нижний колонтитул"/>
    <w:basedOn w:val="872"/>
    <w:next w:val="896"/>
    <w:link w:val="897"/>
    <w:uiPriority w:val="99"/>
    <w:pPr>
      <w:ind w:firstLine="709"/>
      <w:jc w:val="both"/>
      <w:widowControl w:val="off"/>
      <w:tabs>
        <w:tab w:val="center" w:pos="4536" w:leader="none"/>
        <w:tab w:val="right" w:pos="9072" w:leader="none"/>
      </w:tabs>
    </w:pPr>
    <w:rPr>
      <w:sz w:val="28"/>
      <w:szCs w:val="28"/>
      <w:lang w:val="en-US" w:eastAsia="en-US"/>
    </w:rPr>
  </w:style>
  <w:style w:type="character" w:styleId="897">
    <w:name w:val="Нижний колонтитул Знак"/>
    <w:next w:val="897"/>
    <w:link w:val="896"/>
    <w:uiPriority w:val="99"/>
    <w:rPr>
      <w:sz w:val="28"/>
      <w:szCs w:val="28"/>
    </w:rPr>
  </w:style>
  <w:style w:type="paragraph" w:styleId="898">
    <w:name w:val="текст"/>
    <w:basedOn w:val="879"/>
    <w:next w:val="898"/>
    <w:link w:val="872"/>
    <w:pPr>
      <w:ind w:firstLine="709"/>
      <w:jc w:val="both"/>
      <w:spacing w:before="120"/>
    </w:pPr>
    <w:rPr>
      <w:b w:val="0"/>
      <w:bCs w:val="0"/>
      <w:szCs w:val="24"/>
    </w:rPr>
  </w:style>
  <w:style w:type="paragraph" w:styleId="899">
    <w:name w:val="Название"/>
    <w:basedOn w:val="872"/>
    <w:next w:val="899"/>
    <w:link w:val="900"/>
    <w:uiPriority w:val="99"/>
    <w:qFormat/>
    <w:pPr>
      <w:ind w:firstLine="709"/>
      <w:jc w:val="center"/>
      <w:spacing w:before="240" w:after="60"/>
      <w:widowControl w:val="off"/>
    </w:pPr>
    <w:rPr>
      <w:rFonts w:ascii="Arial" w:hAnsi="Arial" w:cs="Arial"/>
      <w:b/>
      <w:bCs/>
      <w:sz w:val="32"/>
      <w:szCs w:val="32"/>
    </w:rPr>
  </w:style>
  <w:style w:type="character" w:styleId="900">
    <w:name w:val="Название Знак"/>
    <w:next w:val="900"/>
    <w:link w:val="899"/>
    <w:uiPriority w:val="99"/>
    <w:rPr>
      <w:rFonts w:ascii="Arial" w:hAnsi="Arial" w:cs="Arial"/>
      <w:b/>
      <w:bCs/>
      <w:sz w:val="32"/>
      <w:szCs w:val="32"/>
    </w:rPr>
  </w:style>
  <w:style w:type="character" w:styleId="901">
    <w:name w:val="Основной текст 2 Знак"/>
    <w:next w:val="901"/>
    <w:link w:val="880"/>
    <w:semiHidden/>
    <w:rPr>
      <w:sz w:val="28"/>
      <w:szCs w:val="24"/>
    </w:rPr>
  </w:style>
  <w:style w:type="character" w:styleId="902">
    <w:name w:val="Заголовок Знак"/>
    <w:next w:val="902"/>
    <w:link w:val="872"/>
    <w:uiPriority w:val="99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903">
    <w:name w:val="gwt-inlinelabel"/>
    <w:next w:val="903"/>
    <w:link w:val="872"/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wmf"/><Relationship Id="rId12" Type="http://schemas.openxmlformats.org/officeDocument/2006/relationships/hyperlink" Target="https://login.consultant.ru/link/?req=doc&amp;base=RLAW049&amp;n=134708&amp;dst=100016&amp;field=134&amp;date=26.09.2024" TargetMode="External"/><Relationship Id="rId13" Type="http://schemas.openxmlformats.org/officeDocument/2006/relationships/hyperlink" Target="https://login.consultant.ru/link/?req=doc&amp;base=LAW&amp;n=477784&amp;dst=100010&amp;field=134&amp;date=27.09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Ирина И Приходько</dc:creator>
  <cp:revision>34</cp:revision>
  <dcterms:created xsi:type="dcterms:W3CDTF">2022-05-31T05:07:00Z</dcterms:created>
  <dcterms:modified xsi:type="dcterms:W3CDTF">2024-10-01T03:55:22Z</dcterms:modified>
  <cp:version>1048576</cp:version>
</cp:coreProperties>
</file>