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3"/>
        <w:jc w:val="both"/>
      </w:pPr>
      <w:r>
        <w:t xml:space="preserve">УТВЕРЖДЕНО</w:t>
      </w:r>
    </w:p>
    <w:p>
      <w:pPr>
        <w:ind w:left="5953"/>
        <w:jc w:val="both"/>
      </w:pPr>
      <w:r>
        <w:t xml:space="preserve">приказом департамента имущества и земельных отношений Новосибирской области</w:t>
      </w:r>
    </w:p>
    <w:p>
      <w:pPr>
        <w:ind w:firstLine="5953"/>
        <w:jc w:val="both"/>
      </w:pPr>
      <w:r>
        <w:t xml:space="preserve">от___________№___________</w:t>
      </w:r>
    </w:p>
    <w:p>
      <w:pPr>
        <w:jc w:val="center"/>
      </w:pPr>
    </w:p>
    <w:p>
      <w:pPr>
        <w:jc w:val="center"/>
      </w:pPr>
    </w:p>
    <w:p>
      <w:pPr>
        <w:jc w:val="center"/>
        <w:rPr>
          <w:b/>
        </w:rPr>
      </w:pPr>
      <w:r>
        <w:rPr>
          <w:b/>
        </w:rPr>
        <w:t xml:space="preserve">ПОРЯДОК</w:t>
      </w:r>
    </w:p>
    <w:p>
      <w:pPr>
        <w:jc w:val="center"/>
      </w:pPr>
      <w:r>
        <w:t xml:space="preserve">взаимодействия с клиентом при обеспечении доступа к информации о деятельности департамента </w:t>
      </w:r>
      <w:r>
        <w:t xml:space="preserve">имущества и земельных отношений Новосибирской области</w:t>
      </w:r>
    </w:p>
    <w:p>
      <w:pPr>
        <w:jc w:val="center"/>
      </w:pPr>
    </w:p>
    <w:p>
      <w:pPr>
        <w:ind w:firstLine="709"/>
        <w:jc w:val="both"/>
      </w:pPr>
      <w:r>
        <w:t xml:space="preserve">1. Настоящий Порядок определяет правила взаимодействия и требования к коммуникации с клиентами в департаменте имущества и земельных отношений Новосибирской области (далее – департамент) в целях обеспеч</w:t>
      </w:r>
      <w:r>
        <w:t xml:space="preserve">ения </w:t>
      </w:r>
      <w:r>
        <w:t xml:space="preserve">клиентоцентричности</w:t>
      </w:r>
      <w:r>
        <w:t xml:space="preserve"> при взаимодействии сотрудников департамента с клиентами во всех точках взаимодействия при обеспечении доступа к информации о деятельности департамента, дополняет и уточняет положения Федерального закона от 09.02.2009 № 8-ФЗ «Об обе</w:t>
      </w:r>
      <w:r>
        <w:t xml:space="preserve">спечении доступа к информации о деятельности государственных органов и органов местного самоуправления», п</w:t>
      </w:r>
      <w:r>
        <w:rPr>
          <w:bCs/>
        </w:rPr>
        <w:t xml:space="preserve">остановления администрации Новосибирской области от 29.12.2009 № 490-па «</w:t>
      </w:r>
      <w:r>
        <w:rPr>
          <w:bCs/>
          <w:iCs/>
        </w:rPr>
        <w:t xml:space="preserve">Об утверждении порядка рассмотрения запроса о предоставлении информации о дея</w:t>
      </w:r>
      <w:r>
        <w:rPr>
          <w:bCs/>
          <w:iCs/>
        </w:rPr>
        <w:t xml:space="preserve">тельности Правительства Новосибирской области», </w:t>
      </w:r>
      <w:r>
        <w:rPr>
          <w:rFonts w:eastAsiaTheme="minorHAnsi"/>
          <w:lang w:eastAsia="en-US"/>
        </w:rPr>
        <w:t xml:space="preserve">приказа департамента от 06.11.2018 № 4601 «Об утверждении Порядка рассмотрения запроса о предоставлении информации о деятельности департамента имущества и земельных отношений Новосибирской области»</w:t>
      </w:r>
      <w:r>
        <w:t xml:space="preserve">, и не прот</w:t>
      </w:r>
      <w:r>
        <w:t xml:space="preserve">иворечит им.</w:t>
      </w:r>
    </w:p>
    <w:p>
      <w:pPr>
        <w:ind w:firstLine="709"/>
        <w:jc w:val="both"/>
        <w:rPr>
          <w:strike/>
        </w:rPr>
      </w:pPr>
      <w:r>
        <w:t xml:space="preserve">2. </w:t>
      </w:r>
      <w:r>
        <w:t xml:space="preserve">К</w:t>
      </w:r>
      <w:r>
        <w:t xml:space="preserve">лиент – физическое или юридическое лицо, взаимодействующее с департаментом с целью удовлетворения заявленных потребностей</w:t>
      </w:r>
      <w:r>
        <w:t xml:space="preserve">.</w:t>
      </w:r>
    </w:p>
    <w:p>
      <w:pPr>
        <w:jc w:val="both"/>
      </w:pPr>
      <w:r>
        <w:tab/>
      </w:r>
    </w:p>
    <w:p>
      <w:pPr>
        <w:jc w:val="center"/>
      </w:pPr>
      <w:r>
        <w:rPr>
          <w:lang w:val="en-US"/>
        </w:rPr>
        <w:t xml:space="preserve">I</w:t>
      </w:r>
      <w:r>
        <w:t xml:space="preserve">. Общие требования </w:t>
      </w:r>
    </w:p>
    <w:p>
      <w:pPr>
        <w:jc w:val="center"/>
      </w:pPr>
    </w:p>
    <w:p>
      <w:pPr>
        <w:ind w:firstLine="709"/>
        <w:jc w:val="both"/>
      </w:pPr>
      <w:r>
        <w:rPr>
          <w:rFonts w:eastAsiaTheme="minorHAnsi"/>
          <w:lang w:eastAsia="en-US"/>
        </w:rPr>
        <w:t xml:space="preserve">3. </w:t>
      </w:r>
      <w:r>
        <w:t xml:space="preserve">При обращении в департамент, независимо от канала</w:t>
      </w:r>
      <w:r>
        <w:t xml:space="preserve"> обращения, клиенту предоставляется возможность выбора дополнительного канала взаимодействия для дальнейшей коммуникации, в том числе, для получения уведомлений об изменении статуса рассмотрения запроса. Для этого клиенту предоставляется возможность дополн</w:t>
      </w:r>
      <w:r>
        <w:t xml:space="preserve">ительно указать адрес электронной почты для того, чтобы уведомления об изменении статуса рассмотрения дублировались также посредством электронной почты. </w:t>
      </w:r>
    </w:p>
    <w:p>
      <w:pPr>
        <w:ind w:firstLine="708"/>
        <w:jc w:val="both"/>
      </w:pPr>
      <w:r>
        <w:rPr>
          <w:rFonts w:eastAsiaTheme="minorHAnsi"/>
          <w:lang w:eastAsia="en-US"/>
        </w:rPr>
        <w:t xml:space="preserve">4. </w:t>
      </w:r>
      <w:r>
        <w:t xml:space="preserve">Департамент обеспечивает хранение сообщений клиента с материалами по их рассмотрению в течение пяти</w:t>
      </w:r>
      <w:r>
        <w:t xml:space="preserve"> лет (далее – история взаимодействия).</w:t>
      </w:r>
    </w:p>
    <w:p>
      <w:pPr>
        <w:ind w:firstLine="709"/>
        <w:jc w:val="both"/>
      </w:pPr>
      <w:r>
        <w:t xml:space="preserve">В историю взаимодействия включаются все случаи взаимодействия клиента с департаментом во всех точках взаимодействия, в том числе</w:t>
      </w:r>
      <w:r>
        <w:t xml:space="preserve">, обращения в справочную телефонную службу департамента.</w:t>
      </w:r>
      <w:r>
        <w:t xml:space="preserve"> </w:t>
      </w:r>
    </w:p>
    <w:p>
      <w:pPr>
        <w:ind w:firstLine="708"/>
        <w:jc w:val="both"/>
      </w:pPr>
      <w:r>
        <w:t xml:space="preserve">По запросу клиента ему предоста</w:t>
      </w:r>
      <w:r>
        <w:t xml:space="preserve">вляется вся история взаимодействия.</w:t>
      </w:r>
    </w:p>
    <w:p>
      <w:pPr>
        <w:ind w:firstLine="709"/>
        <w:jc w:val="both"/>
        <w:rPr>
          <w:rFonts w:eastAsia="Arial"/>
        </w:rPr>
      </w:pPr>
      <w:r>
        <w:t xml:space="preserve">5. При обращении в департамент, независимо от канала обращения, клиенту предоставляется и</w:t>
      </w:r>
      <w:r>
        <w:rPr>
          <w:rFonts w:eastAsia="Arial"/>
        </w:rPr>
        <w:t xml:space="preserve">нформация, подлежащая обязательному раскрытию, которая может включать: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информацию о деятельности департамента;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отчеты о деятельност</w:t>
      </w:r>
      <w:r>
        <w:rPr>
          <w:rFonts w:eastAsia="Arial"/>
        </w:rPr>
        <w:t xml:space="preserve">и департамента, аналитические справки, статьи и иные информационные акты;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данные о нормативных правовых актах, разработанных и принятых департаментом;</w:t>
      </w:r>
    </w:p>
    <w:p>
      <w:pPr>
        <w:ind w:firstLine="709"/>
        <w:jc w:val="both"/>
      </w:pPr>
      <w:r>
        <w:t xml:space="preserve">иные данные.</w:t>
      </w:r>
    </w:p>
    <w:p>
      <w:pPr>
        <w:ind w:firstLine="709"/>
        <w:jc w:val="both"/>
        <w:rPr>
          <w:rFonts w:eastAsia="Arial"/>
        </w:rPr>
      </w:pPr>
      <w:r>
        <w:t xml:space="preserve">6. И</w:t>
      </w:r>
      <w:r>
        <w:rPr>
          <w:rFonts w:eastAsia="Arial"/>
        </w:rPr>
        <w:t xml:space="preserve">нформация о деятельности департамента предоставляется структурными подразделениями департамента в удобном для восприятия виде в соответствии с требованиями </w:t>
      </w:r>
      <w:r>
        <w:t xml:space="preserve">Федерального закона от 09.02.2009 № 8-ФЗ «Об обеспечении доступа к информации о деятельности государ</w:t>
      </w:r>
      <w:r>
        <w:t xml:space="preserve">ственных органов и органов местного самоуправления»</w:t>
      </w:r>
      <w:r>
        <w:rPr>
          <w:rFonts w:eastAsia="Arial"/>
        </w:rPr>
        <w:t xml:space="preserve">.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7. Клиенты могут подавать запросы на получение информации о деятельности департамента в справочную телефонную службу (по номерам 238-60-02, 238-60-62 в рабочие часы департамента), на официальный сайт, оф</w:t>
      </w:r>
      <w:r>
        <w:rPr>
          <w:rFonts w:eastAsia="Arial"/>
        </w:rPr>
        <w:t xml:space="preserve">ициальные аккаунты в </w:t>
      </w:r>
      <w:r>
        <w:rPr>
          <w:rFonts w:eastAsia="Arial"/>
        </w:rPr>
        <w:t xml:space="preserve">соцсетях</w:t>
      </w:r>
      <w:r>
        <w:rPr>
          <w:rFonts w:eastAsia="Arial"/>
        </w:rPr>
        <w:t xml:space="preserve"> департамента </w:t>
      </w:r>
      <w:r>
        <w:t xml:space="preserve">(«</w:t>
      </w:r>
      <w:r>
        <w:t xml:space="preserve">Вконтакте</w:t>
      </w:r>
      <w:r>
        <w:t xml:space="preserve">», «</w:t>
      </w:r>
      <w:r>
        <w:t xml:space="preserve">Телеграм</w:t>
      </w:r>
      <w:r>
        <w:t xml:space="preserve">», «Одноклассники»)</w:t>
      </w:r>
      <w:r>
        <w:rPr>
          <w:rFonts w:eastAsia="Arial"/>
        </w:rPr>
        <w:t xml:space="preserve">, по почте, по электронной почте и лично. 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8</w:t>
      </w:r>
      <w:r>
        <w:rPr>
          <w:rFonts w:eastAsia="Arial"/>
        </w:rPr>
        <w:t xml:space="preserve">. Ответственное лицо </w:t>
      </w:r>
      <w:r>
        <w:rPr>
          <w:rFonts w:eastAsia="Arial"/>
        </w:rPr>
        <w:t xml:space="preserve">отдела организационной и кадровой работы </w:t>
      </w:r>
      <w:r>
        <w:rPr>
          <w:rFonts w:eastAsia="Arial"/>
        </w:rPr>
        <w:t xml:space="preserve">департамента</w:t>
      </w:r>
      <w:r>
        <w:rPr>
          <w:rFonts w:eastAsia="Arial"/>
        </w:rPr>
        <w:t xml:space="preserve"> фиксирует поступившие запросы в электронной таблице и классифицирует их по типу и срочности.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9. Департамент предоставляет запрашиваемую информацию в установленные законодательством сроки. 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Если информация не может быть предоставлена в полном объеме, клиенту дается обоснованный и мотивированный отказ с указанием причины. 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Предоставление информации </w:t>
      </w:r>
      <w:r>
        <w:rPr>
          <w:rFonts w:eastAsia="Arial"/>
        </w:rPr>
        <w:t xml:space="preserve">осуществляется в соответствии с требованиями </w:t>
      </w:r>
      <w:r>
        <w:t xml:space="preserve">Федерального закона от 09.02.2009 № 8-ФЗ «Об обеспечении доступа к информации о деятельности государственных органов и органов местного самоуправления» </w:t>
      </w:r>
      <w:r>
        <w:rPr>
          <w:rFonts w:eastAsia="Arial"/>
        </w:rPr>
        <w:t xml:space="preserve">в устной, письменной или электронной форме.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10. Для обеспеч</w:t>
      </w:r>
      <w:r>
        <w:rPr>
          <w:rFonts w:eastAsia="Arial"/>
        </w:rPr>
        <w:t xml:space="preserve">ения максимальной открытости и доступности департамент публикует информацию на своем официальном сайте, в официальных аккаунтах и </w:t>
      </w:r>
      <w:r>
        <w:rPr>
          <w:rFonts w:eastAsia="Arial"/>
        </w:rPr>
        <w:t xml:space="preserve">соцсетях</w:t>
      </w:r>
      <w:r>
        <w:rPr>
          <w:rFonts w:eastAsia="Arial"/>
        </w:rPr>
        <w:t xml:space="preserve">: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планы и отчеты о деятельности;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нормативные правовые акты и документы, регулирующие деятельность департамента;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информ</w:t>
      </w:r>
      <w:r>
        <w:rPr>
          <w:rFonts w:eastAsia="Arial"/>
        </w:rPr>
        <w:t xml:space="preserve">ацию о кадровых назначениях, конкурсах, имеющихся вакансиях;</w:t>
      </w:r>
    </w:p>
    <w:p>
      <w:pPr>
        <w:ind w:firstLine="709"/>
        <w:jc w:val="both"/>
      </w:pPr>
      <w:r>
        <w:t xml:space="preserve">перечень государственных услуг, предоставляемых департаментом, в том числе в электронном виде;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иную информацию.</w:t>
      </w:r>
    </w:p>
    <w:p>
      <w:pPr>
        <w:ind w:firstLine="709"/>
        <w:jc w:val="both"/>
        <w:rPr>
          <w:rFonts w:eastAsia="Arial"/>
        </w:rPr>
      </w:pPr>
      <w:r>
        <w:rPr>
          <w:rFonts w:eastAsia="Arial"/>
        </w:rPr>
        <w:t xml:space="preserve">11. Департамент организует каналы обратной связи (</w:t>
      </w:r>
      <w:r>
        <w:rPr>
          <w:rFonts w:eastAsia="Arial"/>
          <w:lang w:val="en-US"/>
        </w:rPr>
        <w:t xml:space="preserve">qr</w:t>
      </w:r>
      <w:r>
        <w:rPr>
          <w:rFonts w:eastAsia="Arial"/>
        </w:rPr>
        <w:t xml:space="preserve">-код, электронная ссылка на опр</w:t>
      </w:r>
      <w:r>
        <w:rPr>
          <w:rFonts w:eastAsia="Arial"/>
        </w:rPr>
        <w:t xml:space="preserve">ос, рассылка </w:t>
      </w:r>
      <w:r>
        <w:rPr>
          <w:rFonts w:eastAsia="Arial"/>
          <w:lang w:val="en-US"/>
        </w:rPr>
        <w:t xml:space="preserve">sms</w:t>
      </w:r>
      <w:r>
        <w:rPr>
          <w:rFonts w:eastAsia="Arial"/>
        </w:rPr>
        <w:t xml:space="preserve">-опросов, опрос по электронной почте, </w:t>
      </w:r>
      <w:r>
        <w:rPr>
          <w:rFonts w:eastAsia="Arial"/>
        </w:rPr>
        <w:t xml:space="preserve">обзвон</w:t>
      </w:r>
      <w:r>
        <w:rPr>
          <w:rFonts w:eastAsia="Arial"/>
        </w:rPr>
        <w:t xml:space="preserve"> по телефону) для получения отзывов, комментариев и предложений от клиентов.</w:t>
      </w:r>
    </w:p>
    <w:p>
      <w:pPr>
        <w:ind w:firstLine="708"/>
        <w:jc w:val="center"/>
      </w:pPr>
    </w:p>
    <w:p>
      <w:pPr>
        <w:ind w:firstLine="708"/>
        <w:jc w:val="center"/>
      </w:pPr>
      <w:r>
        <w:rPr>
          <w:lang w:val="en-US"/>
        </w:rPr>
        <w:t xml:space="preserve">II</w:t>
      </w:r>
      <w:r>
        <w:t xml:space="preserve">. Рассылки</w:t>
      </w:r>
    </w:p>
    <w:p>
      <w:pPr>
        <w:ind w:firstLine="709"/>
      </w:pPr>
    </w:p>
    <w:p>
      <w:pPr>
        <w:ind w:firstLine="709"/>
        <w:jc w:val="both"/>
      </w:pPr>
      <w:r>
        <w:t xml:space="preserve">12</w:t>
      </w:r>
      <w:r>
        <w:t xml:space="preserve">. В случае инициации департаментом массовой информационной рассылки, то есть одновременного направления широкому кругу лиц материалов информационного характера об осуществлении функций департамента, в том числе, об изменениях в порядке осуществления таких </w:t>
      </w:r>
      <w:r>
        <w:t xml:space="preserve">функций, такая рассылка осуществляется только в отношении лиц, которые явным образом выразили согласие на получение таких информационных материалов, исключая лиц, которые на момент направления такой рассылки отозвали свое согласие на получение таких информ</w:t>
      </w:r>
      <w:r>
        <w:t xml:space="preserve">ационных материалов. </w:t>
      </w:r>
    </w:p>
    <w:p>
      <w:pPr>
        <w:ind w:firstLine="709"/>
        <w:jc w:val="both"/>
      </w:pPr>
      <w:r>
        <w:t xml:space="preserve">13. Информационная рассылка производится департаментом посредством электронной почты.</w:t>
      </w:r>
    </w:p>
    <w:p>
      <w:pPr>
        <w:ind w:firstLine="709"/>
        <w:jc w:val="both"/>
      </w:pPr>
      <w:r>
        <w:t xml:space="preserve">14. Согласие на получение информационных рассылок от департамента может быть дано любым лицом путем указания его адреса электронной почты на страниц</w:t>
      </w:r>
      <w:r>
        <w:t xml:space="preserve">е официального сайта департамента.</w:t>
      </w:r>
    </w:p>
    <w:p>
      <w:pPr>
        <w:ind w:firstLine="709"/>
        <w:jc w:val="both"/>
      </w:pPr>
      <w:r>
        <w:t xml:space="preserve">15. Внутри каждого рассылаемого электронного письма с информационными материалами должна присутствовать ссылка, при переходе по которой клиент автоматически отзывает свое согласие на получение аналогичных информационных р</w:t>
      </w:r>
      <w:r>
        <w:t xml:space="preserve">ассылок в будущем. 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pgSz w:w="11906" w:h="16838"/>
      <w:pgMar w:top="1134" w:right="566" w:bottom="822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1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a5"/>
                          </w:pPr>
                          <w:bookmarkStart w:id="0" w:name="docout_numb"/>
                          <w:bookmarkEnd w:id="0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a5"/>
                    </w:pPr>
                    <w:bookmarkStart w:id="0" w:name="docout_numb"/>
                    <w:bookmarkEnd w:id="0"/>
                  </w:p>
                </w:txbxContent>
              </v:textbox>
            </v:shape>
          </w:pict>
        </mc:Fallback>
      </mc:AlternateContent>
    </w:r>
  </w:p>
  <w:p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9922"/>
      </w:tabs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a5"/>
                          </w:pPr>
                        </w:p>
                        <w:p>
                          <w:pPr>
                            <w:pStyle w:val="a5"/>
                          </w:pPr>
                        </w:p>
                        <w:p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1312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a5"/>
                    </w:pPr>
                  </w:p>
                  <w:p>
                    <w:pPr>
                      <w:pStyle w:val="a5"/>
                    </w:pPr>
                  </w:p>
                  <w:p>
                    <w:pPr>
                      <w:pStyle w:val="a5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1905" t="0" r="0" b="635"/>
              <wp:wrapNone/>
              <wp:docPr id="3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0288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a5"/>
                    </w:pPr>
                  </w:p>
                </w:txbxContent>
              </v:textbox>
            </v:shape>
          </w:pict>
        </mc:Fallback>
      </mc:AlternateContent>
    </w:r>
  </w:p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line="256" w:lineRule="auto"/>
      <w:jc w:val="both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5" w:customStyle="1">
    <w:name w:val="Титул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pPr>
      <w:jc w:val="both"/>
    </w:pPr>
    <w:rPr>
      <w:rFonts w:eastAsiaTheme="minorHAnsi"/>
      <w:sz w:val="20"/>
      <w:szCs w:val="20"/>
      <w:lang w:eastAsia="en-US"/>
    </w:rPr>
  </w:style>
  <w:style w:type="character" w:styleId="ac" w:customStyle="1">
    <w:name w:val="Текст сноски Знак"/>
    <w:basedOn w:val="a0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8E642-2FDB-4481-B6AD-CF66027B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4830</Characters>
  <CharactersWithSpaces>5666</CharactersWithSpaces>
  <Company>PNO</Company>
  <DocSecurity>0</DocSecurity>
  <HyperlinksChanged>false</HyperlinksChanged>
  <Lines>40</Lines>
  <LinksUpToDate>false</LinksUpToDate>
  <Pages>1</Pages>
  <Paragraphs>11</Paragraphs>
  <ScaleCrop>false</ScaleCrop>
  <SharedDoc>false</SharedDoc>
  <Template>Normal</Template>
  <TotalTime>45</TotalTime>
  <Words>847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lastModifiedBy>Калашникова Светлана Валерьевна</cp:lastModifiedBy>
  <cp:revision>5</cp:revision>
  <cp:lastPrinted>2024-08-14T10:01:00Z</cp:lastPrinted>
  <dcterms:created xsi:type="dcterms:W3CDTF">2024-09-25T01:27:00Z</dcterms:created>
  <dcterms:modified xsi:type="dcterms:W3CDTF">2024-09-27T02:08:00Z</dcterms:modified>
</cp:coreProperties>
</file>