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27017" name=""/>
                        <pic:cNvPicPr/>
                        <pic:nvPr/>
                      </pic:nvPicPr>
                      <pic:blipFill>
                        <a:blip r:embed="rId11"/>
                        <a:srcRect l="-113" t="-95" r="-111" b="-93"/>
                        <a:stretch/>
                      </pic:blipFill>
                      <pic:spPr bwMode="auto">
                        <a:xfrm>
                          <a:off x="0" y="0"/>
                          <a:ext cx="552449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КОНТРОЛЬНОЕ УПРАВЛЕНИЕ НОВОСИБИРСКОЙ ОБЛАСТИ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ПРИКАЗ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tabs>
          <w:tab w:val="left" w:pos="8931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___.___.2024                                                                                                № ____-НПА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г. Новосибирск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О внесении изменений в приказ контрольного управления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Новосибирской области от 29.11.2018 № 374 «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типового положения о закупке товаров, работ, услуг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отдельными видами юридических лиц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целях совершенствования закупок товаров, работ, услуг государственных бюджетных учреждений, государственны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х автономных учреждений, государственных унитарных предприятий Новосибирской области, являющихся заказчиками в соответствии с частью 2 статьи 1 Федерального закона от 18.07.2011 № 223-ФЗ «О закупках товаров, работ, услуг отдельными видами юридических лиц»,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pacing w:val="100"/>
          <w:sz w:val="28"/>
          <w:szCs w:val="28"/>
        </w:rPr>
        <w:t xml:space="preserve">приказыва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ю: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Внести в приказ контрольного управления Новосибирской области от 29.11.2018 № 374 «Об утверждении типового положения о закупке товаров, работ, услуг отдельными видами юридических лиц» следующие изменения: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в Типовом положении о закупке товаров, работ, услуг отдельными видами юридических лиц: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1) пункт 1.1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дополнить предложением следующего содержания: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(далее - заявка на участи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е в неконкурентной закупке), для участия в конкурентной закупке подает заявку на участие в конкурентной закупке (далее при совместном упоминании - заявка на участие в закупке).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2)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раздел 4.4 признать утратившим силу;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3) дополнить разделом 4.8 следующего содержания: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«Раздел 4.8. Предоставление национального режим при осуществлении закупок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4.8.1. 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При осуществлении закупок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заказчиком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предоставляется национальный режим, обеспечивающий происх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одящему из иностранного государства или группы иностранных государств (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далее - иностранное государство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) товару, работе, услуге, соответственно выполняемой, оказываемой иностр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анным гражданином или иностранным юридическим лицом (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далее - иностранное лицо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далее - ро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ссийское лицо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), за исключением случаев принятых Правительством Российской Федерации мер, п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редусмотренных пунктом 1 части 2 Федерального закона № 223-ФЗ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Если иное не предусмотрено мерами, принятыми Правительством Российской Федерации в соответствии с пунктом 1 части 2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Федерального закона № 223-ФЗ, положения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настоящего пункта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касающиеся товара российского происхождения, работы, услуги, соответственно выполняемой, оказываемой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российским лицом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, применяются также в отношении товара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происходящего из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иностранного государства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работы, усл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уги, соответственно выполняемой, оказываемой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иностранным лицом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которым предоставляются р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авные условия с товаром российского происхождения, работой, услугой, соответственно выполняемой, оказываемой российским лицом.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4.8.2. 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При осуществлении закупки товара: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1)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если Правительством Российской Федерации установлен предусмотренный подпунктом «а» пункта 1 части 2 статьи 3.1-4 Федерального закона № 223-ФЗ запрет закупок товара, не допускаются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а) заключение договора на поставку такого товара;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б) при исполнении договора замена такого товара на происходящий из иностранного государства товар, в отношении которого установлен данный запрет;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2) если Правительством Российской Федерации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установлено предусмотренное подпунктом «б»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пункта 1 части 2 статьи 3.1-4 Федерального закона № 223-ФЗ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ограничение закупок товара, не допускаются: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) 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б) 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3) если Правительством Российской Федерации установлено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предусмотренное подпунктом «в» пункта 1 части 2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статьи 3.1-4 Федерального закона № 223-ФЗ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преимущество в отношении товара российского происхождения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а) при рассмотрении, оценке, сопоставлении заявок на участие в закупке, окончательных предложений осуществляется снижение на пятнадцать процентов цен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ового предложения, поданного в соответствии с Федеральным законом № 223-ФЗ и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положением о закупке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участнико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 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б) в случае заключения договора с участником закупки, указанным в абзаце «а» настоящего подпункта, договор заключается без учета снижения либо увеличения ценового предложения, осуществленных в соответствии с абзацем «а» настоящего подпункта;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в) 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4.8.3. При осуществлении закупки работы, услуги: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1)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если Правительством Российской Федерации установлен предусмотренный подпунктом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«а» пункта 1 части 2 статьи 3.1-4 Федерального закона № 223-ФЗ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запрет закупки таких работы, услуги, соответственно выполняемой, оказываемой иностранным лицом, не допускаются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а) заключение договора на выполнение такой работы, оказание такой услуги с подрядчиком (исполнителем), являющимся иностранным лицом;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) 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тановлен данный запрет;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2) если Правительством Российской Федерации установлено предусмотренное подпунктом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«б»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пункта 1 части 2 статьи 3.1-4 Федерального закона № 223-ФЗ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ограничение закупки таких работы, услуги, соответственно выполняемой, оказываемой иностранным лицом, не допускаются: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) заключение договора с участником закупки, являющимся иностранным лицом, если российским лицом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) 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данное ограничение, если договор заключен с российским лицом;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3) если Правительством Российской Федерации установлено предусмотренное подпунктом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«в» пункта 1 части 2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статьи 3.1-4 Федерального закона № 223-ФЗ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преимущество в отношении таких работы, услуги, соответственно выполняемой, оказываемой российским лицом: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а) при рассмотрении, оценке, сопоставлении заявок на участие в конкурентной закупке, заявок на участие в неконкурентной закупке, окончательных предложений осуществляется снижение на пятнадцать процентов ценового предложения, поданного в соответствии с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Федер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альным законом № 223-ФЗ и положением о закупке участником закупки, являющимся российским лицом,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ючение с ним договора;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б) в случае заключения договора с участником закупки, указанным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абзаце «а» настоящего подпункта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договор заключается без учета снижения либо увеличения ценового предложения, осуществленных в соответствии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 абзацем «а» настоящего подпункта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в) 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4.8.4. 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Отчет об объеме закупок товаров российского происхождения, работ, услуг, соответственно выполняемых, оказываемых российскими лицами, размещается в единой информационной системе не позднее 1 февраля года, следующего за отчетным годом.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Порядок формирования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содержание отчета об объеме закупок товаров российского происхождения, работ, услуг, соответственно выполняемых, оказываемых российскими лицами, порядок формирования и размещения такого отчета в единой информационной системе, на официальном сайте единой 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нформационной системы в информационно-телекоммуникационной сети «Интернет»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определяются Правительством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случаях, установленных Правительством Российской Федерации, отчет об объеме закупок товаров российского происхождения, работ, услуг, соответственно выполняемых, оказываемых российскими лицами, не подлежит размещению в единой информацион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ной системе; заказчик до 1 февраля года, следующего за отчетным годом, составляет и направляет такой отчет в федеральный орган исполнительной власти, уполномоченный Правительством Российской Федерации на рассмотрение ответов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об объеме закупок товаров российского происхождения, работ, услуг, соответственно выполняемых, оказываемых российскими лицами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4) 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пункт 6.1.2 дополнить подпунктом 11.1 следующего содержания: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«11.1) 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u w:val="none"/>
        </w:rPr>
        <w:t xml:space="preserve">случае, если такие запрет, огран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u w:val="none"/>
        </w:rPr>
        <w:t xml:space="preserve">ичение, преимущество установлены в соответствии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u w:val="none"/>
        </w:rPr>
        <w:t xml:space="preserve">с пунктом 1 части 2 статьи 3.1-4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u w:val="none"/>
        </w:rPr>
        <w:t xml:space="preserve"> Федерального закона № 223-ФЗ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  <w:u w:val="none"/>
        </w:rPr>
        <w:t xml:space="preserve"> в отношении 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овара, работы, услуги, являющихся предметом закупки;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5) подпункт 21 пункта 6.2.2 признать утратившим силу;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) в абзаце «а» подпункта 3 пункта 6.7.12, в абзаце «а» подпункта 2 пункта 6.8.13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в абзаце «а» подпункта 2 пункта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6.9.10 слова 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(в случае установления заказчиком в конкурсной документации приоритета товарам российского происхождения, работам, услугам, выполняемым, оказываемым российскими лицами, в соответствии с разделом 4.4 Типового положения о закупке)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в соответствии с общероссийским классификатором, используемым для идентификации стран мира»;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7) в подпункте 12 пункта 7.17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лова «документ, подтверждающий страну происхождения товара, предусмотренный актом Правительства Российской Федерации, принятым в соответствии с пунктом 1 части 8 статьи 3» заменить словами «информация и документы, определенные в соответствии с пунктом 2 ча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сти 2 статьи 3.1-4».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2. Приказ вступает в силу в день его официального опубликования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, за исключением подпунктов 2, 5 пункта 1 настоящего Приказа, которые вступают в силу с 01.01.2025.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Положения, установленные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подпунктами 3-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пункта 1 настоящего приказа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применяется к отношениям при осуществлении закупок, извещения (приглашения) о которых размещены (направлены) в единой информационной системе в сфере закупок либо контракты с единственными поставщиками при осуществлении которых заключены с 01.01.2025.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. 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оложения о закупках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государственных бюджетных учреждений, государственных автономных учреждений, государственных унитарных предприятий Новосибирской области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должны быть приведены в соответствие с требованиями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Федерального закона от 18.07.2011 № 223-ФЗ «О закупках товаров, работ, ус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луг отдельными видами юридических лиц»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(в редакции Федерального закона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от 08.08.2024 № 318-ФЗ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») (далее соответственно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 –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 Федеральный закон № 223-ФЗ, Федеральный закон № 318-ФЗ),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утверждены 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размеще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ы в единой информационной системе в сфере закупок до 01.01.2025.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Положения о закупках, не соответствующие требованиям Федерального закона № 223-ФЗ (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в редакции Федерального закона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№ 318-ФЗ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), по состоянию на 01.01.2025 считаются не размещенными в единой информационной системе в сфере закупок.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С.Л.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Шарпф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Л.А. Большакова</w:t>
      </w:r>
      <w:r>
        <w:rPr>
          <w:rFonts w:ascii="Times New Roman" w:hAnsi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pStyle w:val="944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2386449</w:t>
      </w:r>
      <w:r>
        <w:rPr>
          <w:rFonts w:ascii="Times New Roman" w:hAnsi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sectPr>
      <w:headerReference w:type="default" r:id="rId9"/>
      <w:headerReference w:type="first" r:id="rId10"/>
      <w:footnotePr>
        <w:numRestart w:val="continuous"/>
      </w:footnotePr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0</w:t>
    </w:r>
    <w:r>
      <w:rPr>
        <w:rFonts w:ascii="Times New Roman" w:hAnsi="Times New Roman" w:cs="Times New Roman"/>
        <w:sz w:val="28"/>
        <w:szCs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9"/>
    <w:next w:val="859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9"/>
    <w:next w:val="85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9"/>
    <w:next w:val="859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9"/>
    <w:next w:val="859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9"/>
    <w:next w:val="859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9"/>
    <w:next w:val="859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9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9"/>
    <w:next w:val="859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9"/>
    <w:next w:val="859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9"/>
    <w:next w:val="859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9"/>
    <w:next w:val="859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9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9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9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9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9"/>
    <w:next w:val="859"/>
    <w:uiPriority w:val="99"/>
    <w:unhideWhenUsed/>
    <w:pPr>
      <w:spacing w:after="0" w:afterAutospacing="0"/>
    </w:pPr>
  </w:style>
  <w:style w:type="table" w:styleId="85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9" w:default="1">
    <w:name w:val="Normal"/>
    <w:next w:val="859"/>
    <w:pPr>
      <w:spacing w:before="0" w:after="160" w:line="25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860">
    <w:name w:val="WW8Num1z0"/>
    <w:next w:val="860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861">
    <w:name w:val="WW8Num1z2"/>
    <w:next w:val="861"/>
  </w:style>
  <w:style w:type="character" w:styleId="862">
    <w:name w:val="WW8Num1z3"/>
    <w:next w:val="862"/>
    <w:link w:val="859"/>
  </w:style>
  <w:style w:type="character" w:styleId="863">
    <w:name w:val="WW8Num1z4"/>
    <w:next w:val="863"/>
    <w:link w:val="859"/>
  </w:style>
  <w:style w:type="character" w:styleId="864">
    <w:name w:val="WW8Num1z5"/>
    <w:next w:val="864"/>
    <w:link w:val="859"/>
  </w:style>
  <w:style w:type="character" w:styleId="865">
    <w:name w:val="WW8Num1z6"/>
    <w:next w:val="865"/>
    <w:link w:val="859"/>
  </w:style>
  <w:style w:type="character" w:styleId="866">
    <w:name w:val="WW8Num1z7"/>
    <w:next w:val="866"/>
    <w:link w:val="859"/>
  </w:style>
  <w:style w:type="character" w:styleId="867">
    <w:name w:val="WW8Num1z8"/>
    <w:next w:val="867"/>
    <w:link w:val="859"/>
  </w:style>
  <w:style w:type="character" w:styleId="868">
    <w:name w:val="WW8Num2z0"/>
    <w:next w:val="868"/>
    <w:link w:val="859"/>
  </w:style>
  <w:style w:type="character" w:styleId="869">
    <w:name w:val="WW8Num2z1"/>
    <w:next w:val="869"/>
    <w:link w:val="859"/>
  </w:style>
  <w:style w:type="character" w:styleId="870">
    <w:name w:val="WW8Num2z2"/>
    <w:next w:val="870"/>
    <w:link w:val="859"/>
  </w:style>
  <w:style w:type="character" w:styleId="871">
    <w:name w:val="WW8Num2z3"/>
    <w:next w:val="871"/>
    <w:link w:val="859"/>
  </w:style>
  <w:style w:type="character" w:styleId="872">
    <w:name w:val="WW8Num2z4"/>
    <w:next w:val="872"/>
    <w:link w:val="859"/>
  </w:style>
  <w:style w:type="character" w:styleId="873">
    <w:name w:val="WW8Num2z5"/>
    <w:next w:val="873"/>
    <w:link w:val="859"/>
  </w:style>
  <w:style w:type="character" w:styleId="874">
    <w:name w:val="WW8Num2z6"/>
    <w:next w:val="874"/>
    <w:link w:val="859"/>
  </w:style>
  <w:style w:type="character" w:styleId="875">
    <w:name w:val="WW8Num2z7"/>
    <w:next w:val="875"/>
    <w:link w:val="859"/>
  </w:style>
  <w:style w:type="character" w:styleId="876">
    <w:name w:val="WW8Num2z8"/>
    <w:next w:val="876"/>
    <w:link w:val="859"/>
  </w:style>
  <w:style w:type="character" w:styleId="877">
    <w:name w:val="WW8Num3z0"/>
    <w:next w:val="877"/>
    <w:link w:val="859"/>
  </w:style>
  <w:style w:type="character" w:styleId="878">
    <w:name w:val="WW8Num3z1"/>
    <w:next w:val="878"/>
    <w:link w:val="859"/>
  </w:style>
  <w:style w:type="character" w:styleId="879">
    <w:name w:val="WW8Num3z2"/>
    <w:next w:val="879"/>
    <w:link w:val="859"/>
  </w:style>
  <w:style w:type="character" w:styleId="880">
    <w:name w:val="WW8Num3z3"/>
    <w:next w:val="880"/>
    <w:link w:val="859"/>
  </w:style>
  <w:style w:type="character" w:styleId="881">
    <w:name w:val="WW8Num3z4"/>
    <w:next w:val="881"/>
    <w:link w:val="859"/>
  </w:style>
  <w:style w:type="character" w:styleId="882">
    <w:name w:val="WW8Num3z5"/>
    <w:next w:val="882"/>
    <w:link w:val="859"/>
  </w:style>
  <w:style w:type="character" w:styleId="883">
    <w:name w:val="WW8Num3z6"/>
    <w:next w:val="883"/>
    <w:link w:val="859"/>
  </w:style>
  <w:style w:type="character" w:styleId="884">
    <w:name w:val="WW8Num3z7"/>
    <w:next w:val="884"/>
    <w:link w:val="859"/>
  </w:style>
  <w:style w:type="character" w:styleId="885">
    <w:name w:val="WW8Num3z8"/>
    <w:next w:val="885"/>
    <w:link w:val="859"/>
  </w:style>
  <w:style w:type="character" w:styleId="886">
    <w:name w:val="WW8Num4z0"/>
    <w:next w:val="886"/>
    <w:link w:val="859"/>
    <w:rPr>
      <w:b/>
    </w:rPr>
  </w:style>
  <w:style w:type="character" w:styleId="887">
    <w:name w:val="WW8Num4z1"/>
    <w:next w:val="887"/>
    <w:link w:val="859"/>
  </w:style>
  <w:style w:type="character" w:styleId="888">
    <w:name w:val="WW8Num4z2"/>
    <w:next w:val="888"/>
    <w:link w:val="859"/>
  </w:style>
  <w:style w:type="character" w:styleId="889">
    <w:name w:val="WW8Num4z3"/>
    <w:next w:val="889"/>
    <w:link w:val="859"/>
  </w:style>
  <w:style w:type="character" w:styleId="890">
    <w:name w:val="WW8Num4z4"/>
    <w:next w:val="890"/>
    <w:link w:val="859"/>
  </w:style>
  <w:style w:type="character" w:styleId="891">
    <w:name w:val="WW8Num4z5"/>
    <w:next w:val="891"/>
    <w:link w:val="859"/>
  </w:style>
  <w:style w:type="character" w:styleId="892">
    <w:name w:val="WW8Num4z6"/>
    <w:next w:val="892"/>
    <w:link w:val="859"/>
  </w:style>
  <w:style w:type="character" w:styleId="893">
    <w:name w:val="WW8Num4z7"/>
    <w:next w:val="893"/>
    <w:link w:val="859"/>
  </w:style>
  <w:style w:type="character" w:styleId="894">
    <w:name w:val="WW8Num4z8"/>
    <w:next w:val="894"/>
    <w:link w:val="859"/>
  </w:style>
  <w:style w:type="character" w:styleId="895">
    <w:name w:val="WW8Num5z0"/>
    <w:next w:val="895"/>
    <w:link w:val="85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15"/>
      <w:position w:val="0"/>
      <w:sz w:val="33"/>
      <w:szCs w:val="33"/>
      <w:u w:val="none"/>
      <w:vertAlign w:val="baseline"/>
      <w:lang w:val="ru-RU"/>
    </w:rPr>
  </w:style>
  <w:style w:type="character" w:styleId="896">
    <w:name w:val="WW8Num5z1"/>
    <w:next w:val="896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897">
    <w:name w:val="WW8Num5z3"/>
    <w:next w:val="897"/>
  </w:style>
  <w:style w:type="character" w:styleId="898">
    <w:name w:val="WW8Num5z4"/>
    <w:next w:val="898"/>
    <w:link w:val="859"/>
  </w:style>
  <w:style w:type="character" w:styleId="899">
    <w:name w:val="WW8Num5z5"/>
    <w:next w:val="899"/>
    <w:link w:val="859"/>
  </w:style>
  <w:style w:type="character" w:styleId="900">
    <w:name w:val="WW8Num5z6"/>
    <w:next w:val="900"/>
    <w:link w:val="859"/>
  </w:style>
  <w:style w:type="character" w:styleId="901">
    <w:name w:val="WW8Num5z7"/>
    <w:next w:val="901"/>
    <w:link w:val="859"/>
  </w:style>
  <w:style w:type="character" w:styleId="902">
    <w:name w:val="WW8Num5z8"/>
    <w:next w:val="902"/>
    <w:link w:val="859"/>
  </w:style>
  <w:style w:type="character" w:styleId="903">
    <w:name w:val="WW8Num6z0"/>
    <w:next w:val="903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04">
    <w:name w:val="WW8Num6z1"/>
    <w:next w:val="904"/>
  </w:style>
  <w:style w:type="character" w:styleId="905">
    <w:name w:val="WW8Num6z2"/>
    <w:next w:val="905"/>
    <w:link w:val="859"/>
  </w:style>
  <w:style w:type="character" w:styleId="906">
    <w:name w:val="WW8Num6z3"/>
    <w:next w:val="906"/>
    <w:link w:val="859"/>
  </w:style>
  <w:style w:type="character" w:styleId="907">
    <w:name w:val="WW8Num6z4"/>
    <w:next w:val="907"/>
    <w:link w:val="859"/>
  </w:style>
  <w:style w:type="character" w:styleId="908">
    <w:name w:val="WW8Num6z5"/>
    <w:next w:val="908"/>
    <w:link w:val="859"/>
  </w:style>
  <w:style w:type="character" w:styleId="909">
    <w:name w:val="WW8Num6z6"/>
    <w:next w:val="909"/>
    <w:link w:val="859"/>
  </w:style>
  <w:style w:type="character" w:styleId="910">
    <w:name w:val="WW8Num6z7"/>
    <w:next w:val="910"/>
    <w:link w:val="859"/>
  </w:style>
  <w:style w:type="character" w:styleId="911">
    <w:name w:val="WW8Num6z8"/>
    <w:next w:val="911"/>
    <w:link w:val="859"/>
  </w:style>
  <w:style w:type="character" w:styleId="912">
    <w:name w:val="WW8Num7z0"/>
    <w:next w:val="912"/>
    <w:link w:val="859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15"/>
      <w:position w:val="0"/>
      <w:sz w:val="33"/>
      <w:szCs w:val="33"/>
      <w:u w:val="none"/>
      <w:vertAlign w:val="baseline"/>
      <w:lang w:val="ru-RU"/>
    </w:rPr>
  </w:style>
  <w:style w:type="character" w:styleId="913">
    <w:name w:val="WW8Num7z1"/>
    <w:next w:val="913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14">
    <w:name w:val="WW8Num7z3"/>
    <w:next w:val="914"/>
  </w:style>
  <w:style w:type="character" w:styleId="915">
    <w:name w:val="WW8Num7z4"/>
    <w:next w:val="915"/>
    <w:link w:val="859"/>
  </w:style>
  <w:style w:type="character" w:styleId="916">
    <w:name w:val="WW8Num7z5"/>
    <w:next w:val="916"/>
    <w:link w:val="859"/>
  </w:style>
  <w:style w:type="character" w:styleId="917">
    <w:name w:val="WW8Num7z6"/>
    <w:next w:val="917"/>
    <w:link w:val="859"/>
  </w:style>
  <w:style w:type="character" w:styleId="918">
    <w:name w:val="WW8Num7z7"/>
    <w:next w:val="918"/>
    <w:link w:val="859"/>
  </w:style>
  <w:style w:type="character" w:styleId="919">
    <w:name w:val="WW8Num7z8"/>
    <w:next w:val="919"/>
    <w:link w:val="859"/>
  </w:style>
  <w:style w:type="character" w:styleId="920">
    <w:name w:val="WW8Num8z0"/>
    <w:next w:val="920"/>
    <w:link w:val="859"/>
  </w:style>
  <w:style w:type="character" w:styleId="921">
    <w:name w:val="WW8Num8z1"/>
    <w:next w:val="921"/>
    <w:link w:val="859"/>
  </w:style>
  <w:style w:type="character" w:styleId="922">
    <w:name w:val="WW8Num8z2"/>
    <w:next w:val="922"/>
    <w:link w:val="859"/>
  </w:style>
  <w:style w:type="character" w:styleId="923">
    <w:name w:val="WW8Num8z3"/>
    <w:next w:val="923"/>
    <w:link w:val="859"/>
  </w:style>
  <w:style w:type="character" w:styleId="924">
    <w:name w:val="WW8Num8z4"/>
    <w:next w:val="924"/>
    <w:link w:val="859"/>
  </w:style>
  <w:style w:type="character" w:styleId="925">
    <w:name w:val="WW8Num8z5"/>
    <w:next w:val="925"/>
    <w:link w:val="859"/>
  </w:style>
  <w:style w:type="character" w:styleId="926">
    <w:name w:val="WW8Num8z6"/>
    <w:next w:val="926"/>
    <w:link w:val="859"/>
  </w:style>
  <w:style w:type="character" w:styleId="927">
    <w:name w:val="WW8Num8z7"/>
    <w:next w:val="927"/>
    <w:link w:val="859"/>
  </w:style>
  <w:style w:type="character" w:styleId="928">
    <w:name w:val="WW8Num8z8"/>
    <w:next w:val="928"/>
    <w:link w:val="859"/>
  </w:style>
  <w:style w:type="character" w:styleId="929">
    <w:name w:val="Основной шрифт абзаца"/>
    <w:next w:val="929"/>
    <w:link w:val="859"/>
  </w:style>
  <w:style w:type="character" w:styleId="930">
    <w:name w:val="Верхний колонтитул Знак"/>
    <w:next w:val="930"/>
    <w:link w:val="859"/>
    <w:rPr>
      <w:rFonts w:ascii="Calibri" w:hAnsi="Calibri" w:eastAsia="Calibri" w:cs="Times New Roman"/>
    </w:rPr>
  </w:style>
  <w:style w:type="character" w:styleId="931">
    <w:name w:val="Нижний колонтитул Знак"/>
    <w:next w:val="931"/>
    <w:link w:val="859"/>
    <w:rPr>
      <w:rFonts w:ascii="Calibri" w:hAnsi="Calibri" w:eastAsia="Calibri" w:cs="Times New Roman"/>
    </w:rPr>
  </w:style>
  <w:style w:type="character" w:styleId="932">
    <w:name w:val="Текст выноски Знак"/>
    <w:next w:val="932"/>
    <w:link w:val="859"/>
    <w:rPr>
      <w:rFonts w:ascii="Segoe UI" w:hAnsi="Segoe UI" w:eastAsia="Calibri" w:cs="Segoe UI"/>
      <w:sz w:val="18"/>
      <w:szCs w:val="18"/>
    </w:rPr>
  </w:style>
  <w:style w:type="character" w:styleId="933">
    <w:name w:val="Основной текст + 16;5 pt;Интервал 0 pt"/>
    <w:next w:val="933"/>
    <w:link w:val="85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2"/>
      <w:position w:val="0"/>
      <w:sz w:val="33"/>
      <w:szCs w:val="33"/>
      <w:u w:val="none"/>
      <w:vertAlign w:val="baseline"/>
      <w:lang w:val="ru-RU"/>
    </w:rPr>
  </w:style>
  <w:style w:type="character" w:styleId="934">
    <w:name w:val="Основной текст_"/>
    <w:next w:val="934"/>
    <w:link w:val="859"/>
    <w:rPr>
      <w:rFonts w:ascii="Times New Roman" w:hAnsi="Times New Roman" w:eastAsia="Times New Roman" w:cs="Times New Roman"/>
      <w:spacing w:val="11"/>
      <w:sz w:val="34"/>
      <w:szCs w:val="34"/>
      <w:shd w:val="clear" w:color="auto" w:fill="ffffff"/>
    </w:rPr>
  </w:style>
  <w:style w:type="character" w:styleId="935">
    <w:name w:val="Интернет-ссылка"/>
    <w:next w:val="935"/>
    <w:link w:val="859"/>
    <w:rPr>
      <w:color w:val="0000ff"/>
      <w:u w:val="single"/>
    </w:rPr>
  </w:style>
  <w:style w:type="character" w:styleId="936">
    <w:name w:val="Знак примечания"/>
    <w:next w:val="936"/>
    <w:link w:val="859"/>
    <w:rPr>
      <w:sz w:val="16"/>
      <w:szCs w:val="16"/>
    </w:rPr>
  </w:style>
  <w:style w:type="character" w:styleId="937">
    <w:name w:val="Текст примечания Знак"/>
    <w:next w:val="937"/>
    <w:link w:val="859"/>
  </w:style>
  <w:style w:type="character" w:styleId="938">
    <w:name w:val="Тема примечания Знак"/>
    <w:next w:val="938"/>
    <w:link w:val="859"/>
    <w:rPr>
      <w:b/>
      <w:bCs/>
    </w:rPr>
  </w:style>
  <w:style w:type="paragraph" w:styleId="939">
    <w:name w:val="Заголовок"/>
    <w:basedOn w:val="859"/>
    <w:next w:val="940"/>
    <w:link w:val="859"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940">
    <w:name w:val="Основной текст"/>
    <w:basedOn w:val="859"/>
    <w:next w:val="940"/>
    <w:link w:val="859"/>
    <w:pPr>
      <w:spacing w:before="0" w:after="140" w:line="276" w:lineRule="auto"/>
    </w:pPr>
  </w:style>
  <w:style w:type="paragraph" w:styleId="941">
    <w:name w:val="Список"/>
    <w:basedOn w:val="940"/>
    <w:next w:val="941"/>
    <w:link w:val="859"/>
    <w:rPr>
      <w:rFonts w:cs="Droid Sans Devanagari"/>
    </w:rPr>
  </w:style>
  <w:style w:type="paragraph" w:styleId="942">
    <w:name w:val="Название"/>
    <w:basedOn w:val="859"/>
    <w:next w:val="942"/>
    <w:link w:val="859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43">
    <w:name w:val="Указатель"/>
    <w:basedOn w:val="859"/>
    <w:next w:val="943"/>
    <w:link w:val="859"/>
    <w:pPr>
      <w:suppressLineNumbers/>
    </w:pPr>
    <w:rPr>
      <w:rFonts w:cs="Droid Sans Devanagari"/>
    </w:rPr>
  </w:style>
  <w:style w:type="paragraph" w:styleId="944">
    <w:name w:val="ConsPlusNormal"/>
    <w:next w:val="944"/>
    <w:link w:val="859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945">
    <w:name w:val="ConsPlusTitle"/>
    <w:next w:val="945"/>
    <w:link w:val="859"/>
    <w:pPr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946">
    <w:name w:val="Верхний и нижний колонтитулы"/>
    <w:basedOn w:val="859"/>
    <w:next w:val="946"/>
    <w:link w:val="859"/>
    <w:pPr>
      <w:tabs>
        <w:tab w:val="center" w:pos="4819" w:leader="none"/>
        <w:tab w:val="right" w:pos="9638" w:leader="none"/>
      </w:tabs>
      <w:suppressLineNumbers/>
    </w:pPr>
  </w:style>
  <w:style w:type="paragraph" w:styleId="947">
    <w:name w:val="Верхний колонтитул"/>
    <w:basedOn w:val="859"/>
    <w:next w:val="947"/>
    <w:link w:val="859"/>
    <w:pPr>
      <w:spacing w:before="0" w:after="0" w:line="240" w:lineRule="auto"/>
    </w:pPr>
    <w:rPr>
      <w:sz w:val="20"/>
      <w:szCs w:val="20"/>
      <w:lang w:val="en-US"/>
    </w:rPr>
  </w:style>
  <w:style w:type="paragraph" w:styleId="948">
    <w:name w:val="Нижний колонтитул"/>
    <w:basedOn w:val="859"/>
    <w:next w:val="948"/>
    <w:link w:val="859"/>
    <w:pPr>
      <w:spacing w:before="0" w:after="0" w:line="240" w:lineRule="auto"/>
    </w:pPr>
    <w:rPr>
      <w:sz w:val="20"/>
      <w:szCs w:val="20"/>
      <w:lang w:val="en-US"/>
    </w:rPr>
  </w:style>
  <w:style w:type="paragraph" w:styleId="949">
    <w:name w:val="Абзац списка"/>
    <w:basedOn w:val="859"/>
    <w:next w:val="949"/>
    <w:link w:val="859"/>
    <w:pPr>
      <w:contextualSpacing/>
      <w:ind w:left="720" w:right="0" w:firstLine="0"/>
      <w:spacing w:before="0" w:after="160"/>
    </w:pPr>
  </w:style>
  <w:style w:type="paragraph" w:styleId="950">
    <w:name w:val="Текст выноски"/>
    <w:basedOn w:val="859"/>
    <w:next w:val="950"/>
    <w:link w:val="859"/>
    <w:pPr>
      <w:spacing w:before="0"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951">
    <w:name w:val="Основной текст1"/>
    <w:basedOn w:val="859"/>
    <w:next w:val="951"/>
    <w:link w:val="859"/>
    <w:pPr>
      <w:ind w:left="0" w:right="0" w:hanging="1940"/>
      <w:spacing w:before="0" w:after="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11"/>
      <w:sz w:val="34"/>
      <w:szCs w:val="34"/>
      <w:lang w:val="en-US"/>
    </w:rPr>
  </w:style>
  <w:style w:type="paragraph" w:styleId="952">
    <w:name w:val="Текст примечания"/>
    <w:basedOn w:val="859"/>
    <w:next w:val="952"/>
    <w:rPr>
      <w:sz w:val="20"/>
      <w:szCs w:val="20"/>
      <w:lang w:val="en-US"/>
    </w:rPr>
  </w:style>
  <w:style w:type="paragraph" w:styleId="953">
    <w:name w:val="Тема примечания"/>
    <w:basedOn w:val="952"/>
    <w:next w:val="952"/>
    <w:link w:val="859"/>
    <w:rPr>
      <w:b/>
      <w:bCs/>
    </w:rPr>
  </w:style>
  <w:style w:type="character" w:styleId="954" w:default="1">
    <w:name w:val="Default Paragraph Font"/>
    <w:uiPriority w:val="1"/>
    <w:semiHidden/>
    <w:unhideWhenUsed/>
  </w:style>
  <w:style w:type="numbering" w:styleId="9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Кристина Олеговна</dc:creator>
  <cp:revision>119</cp:revision>
  <dcterms:created xsi:type="dcterms:W3CDTF">2022-10-21T07:37:00Z</dcterms:created>
  <dcterms:modified xsi:type="dcterms:W3CDTF">2024-10-02T03:10:43Z</dcterms:modified>
</cp:coreProperties>
</file>