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52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52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Правительства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52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52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__________ № 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Правила заключения оператором комплексного развития территории соглашения с Правительством Новосибирской области, уполномоченным органом местного самоуправления в целях реализации решения о комплексном развитии территории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Настоящие Правила в соответств</w:t>
      </w:r>
      <w:r>
        <w:rPr>
          <w:sz w:val="28"/>
          <w:szCs w:val="28"/>
        </w:rPr>
        <w:t xml:space="preserve">ии с частью 7 статьи 71 Градостроительного кодекса Российской Федерации устанавливают случаи, содержание, порядок заключения и реализации оператором комплексного развития территории, указанным в части 2 статьи 71 Градостроительного кодекса Российской Федер</w:t>
      </w:r>
      <w:r>
        <w:rPr>
          <w:sz w:val="28"/>
          <w:szCs w:val="28"/>
        </w:rPr>
        <w:t xml:space="preserve">ации (далее – оператор), соглашения с Правительством Новосибирской области, уполномоченным органом местного самоуправления в целях реализации решения о комплексном развитии территории, принимаемого Правительством Новосибирской области (далее – соглашение).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Соглашение заключается в случаях если в соответствии с принятым Правительством Новосибирской области решением о комплексном развитии территории его реализацию обеспечивает оператор.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 Соглашение предусматривает распределение обязательств </w:t>
      </w:r>
      <w:r>
        <w:rPr>
          <w:sz w:val="28"/>
          <w:szCs w:val="28"/>
        </w:rPr>
        <w:t xml:space="preserve">его </w:t>
      </w:r>
      <w:r>
        <w:rPr>
          <w:sz w:val="28"/>
          <w:szCs w:val="28"/>
        </w:rPr>
        <w:t xml:space="preserve">сторон при выполнении мероприятий, направленных на реализацию решения о </w:t>
      </w:r>
      <w:r>
        <w:rPr>
          <w:sz w:val="28"/>
          <w:szCs w:val="28"/>
        </w:rPr>
        <w:t xml:space="preserve">комплексном развитии территории, в том числе мероприятий по подготовке и утверждению документации по планировке территории, образованию и предоставлению земельных участков, а также по сносу, строительству, реконструкции объектов капитального строительства.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 В целях заключения соглашения опера</w:t>
      </w:r>
      <w:r>
        <w:rPr>
          <w:sz w:val="28"/>
          <w:szCs w:val="28"/>
        </w:rPr>
        <w:t xml:space="preserve">тор в течение 20 рабочих дней со дня принятия Правительством Новосибирской области решения о комплексном развитии территории обеспечивает подготовку проекта соглашения и направляет его в Правительство Новосибирской области (далее – уполномоченный орган). В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случае, </w:t>
      </w:r>
      <w:r>
        <w:rPr>
          <w:sz w:val="28"/>
          <w:szCs w:val="28"/>
        </w:rPr>
        <w:t xml:space="preserve">предусмотренно</w:t>
      </w:r>
      <w:r>
        <w:rPr>
          <w:color w:val="000000" w:themeColor="text1"/>
          <w:sz w:val="28"/>
          <w:szCs w:val="28"/>
        </w:rPr>
        <w:t xml:space="preserve">м пунктом </w:t>
      </w:r>
      <w:r>
        <w:rPr>
          <w:color w:val="000000" w:themeColor="text1"/>
          <w:sz w:val="28"/>
          <w:szCs w:val="28"/>
        </w:rPr>
        <w:t xml:space="preserve">5</w:t>
      </w:r>
      <w:r>
        <w:rPr>
          <w:color w:val="000000" w:themeColor="text1"/>
          <w:sz w:val="28"/>
          <w:szCs w:val="28"/>
        </w:rPr>
        <w:t xml:space="preserve"> н</w:t>
      </w:r>
      <w:r>
        <w:rPr>
          <w:sz w:val="28"/>
          <w:szCs w:val="28"/>
        </w:rPr>
        <w:t xml:space="preserve">астоящих</w:t>
      </w:r>
      <w:r>
        <w:rPr>
          <w:sz w:val="28"/>
          <w:szCs w:val="28"/>
        </w:rPr>
        <w:t xml:space="preserve"> Правил, оператор направляет проект соглашения в уполномоченный орган в течение 5 рабочих </w:t>
      </w:r>
      <w:r>
        <w:rPr>
          <w:sz w:val="28"/>
          <w:szCs w:val="28"/>
        </w:rPr>
        <w:t xml:space="preserve">дней </w:t>
      </w:r>
      <w:r>
        <w:rPr>
          <w:sz w:val="28"/>
          <w:szCs w:val="28"/>
        </w:rPr>
        <w:t xml:space="preserve">со дня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 согласования с главой местной администрации муниципального образования Новосибирской области (главами местных администраций муниципальных образований Новосибирской области).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В случае если полномочиями по выполнению одного или нескольких условий соглашения наделены органы местного самоуправления муниципальных образований Новосибирской области, согла</w:t>
      </w:r>
      <w:r>
        <w:rPr>
          <w:sz w:val="28"/>
          <w:szCs w:val="28"/>
        </w:rPr>
        <w:t xml:space="preserve">шение заключается в том числе с главой местной администрации (главами местных администраций) муниципального образования Новосибирской области (муниципальных образований Новосибирской области), на территориях которых в соответствии с решением Правительства </w:t>
      </w:r>
      <w:r>
        <w:rPr>
          <w:sz w:val="28"/>
          <w:szCs w:val="28"/>
        </w:rPr>
        <w:t xml:space="preserve">Новосибирской области о комплексном развитии территории предусматривается осуществление комплексного развития территории.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 В соглашение включаются следующие сведения и условия: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реквизиты правового акта, которым принято решение о комплексном развитии территории;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ведения об осуществлении комплексного развития территории оператором самостоятельно, и (или) путем заключения оператором договора о комплексном развитии территории в соответствии со статьей 69 Градостроительного кодекса Российской Федерации, и (или) путем </w:t>
      </w:r>
      <w:r>
        <w:rPr>
          <w:sz w:val="28"/>
          <w:szCs w:val="28"/>
        </w:rPr>
        <w:t xml:space="preserve">привлечения оператором к реализации </w:t>
      </w:r>
      <w:r>
        <w:rPr>
          <w:sz w:val="28"/>
          <w:szCs w:val="28"/>
        </w:rPr>
        <w:t xml:space="preserve">решения о комплексном развитии территории дочернего общества (дочерних обществ), и (или) иных </w:t>
      </w:r>
      <w:r>
        <w:rPr>
          <w:sz w:val="28"/>
          <w:szCs w:val="28"/>
        </w:rPr>
        <w:t xml:space="preserve">юридических лиц с передачей им в субаренду </w:t>
      </w:r>
      <w:r>
        <w:rPr>
          <w:color w:val="000000" w:themeColor="text1"/>
          <w:sz w:val="28"/>
          <w:szCs w:val="28"/>
        </w:rPr>
        <w:t xml:space="preserve">земельных участков, находящи</w:t>
      </w:r>
      <w:r>
        <w:rPr>
          <w:color w:val="000000" w:themeColor="text1"/>
          <w:sz w:val="28"/>
          <w:szCs w:val="28"/>
        </w:rPr>
        <w:t xml:space="preserve">х</w:t>
      </w:r>
      <w:r>
        <w:rPr>
          <w:color w:val="000000" w:themeColor="text1"/>
          <w:sz w:val="28"/>
          <w:szCs w:val="28"/>
        </w:rPr>
        <w:t xml:space="preserve">ся в государственной или муниципальной собственности, и предоставленных в аренду оператору</w:t>
      </w:r>
      <w:r>
        <w:rPr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обязательство оператора,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областного исполнительного органа Новосибирской области, уполномоченного в области градостроительной деятельности </w:t>
      </w:r>
      <w:r>
        <w:rPr>
          <w:sz w:val="28"/>
          <w:szCs w:val="28"/>
        </w:rPr>
        <w:t xml:space="preserve">или уполномочен</w:t>
      </w:r>
      <w:r>
        <w:rPr>
          <w:sz w:val="28"/>
          <w:szCs w:val="28"/>
        </w:rPr>
        <w:t xml:space="preserve">ного органа местного</w:t>
      </w:r>
      <w:r>
        <w:rPr>
          <w:sz w:val="28"/>
          <w:szCs w:val="28"/>
        </w:rPr>
        <w:t xml:space="preserve"> самоуправления по подготовке и представлению на утверждение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областному исполнительному органу государственной власти Новосибирской области, уполномоченному в области градостроительной деятельности</w:t>
      </w:r>
      <w:r>
        <w:rPr>
          <w:sz w:val="28"/>
          <w:szCs w:val="28"/>
        </w:rPr>
        <w:t xml:space="preserve"> или ор</w:t>
      </w:r>
      <w:r>
        <w:rPr>
          <w:sz w:val="28"/>
          <w:szCs w:val="28"/>
        </w:rPr>
        <w:t xml:space="preserve">гану местного самоуправления в определенный соглашением срок документации по планировке территории комплексного развития </w:t>
      </w:r>
      <w:r>
        <w:rPr>
          <w:sz w:val="28"/>
          <w:szCs w:val="28"/>
        </w:rPr>
        <w:t xml:space="preserve">в части, составляющей предмет соглашения (за исключением случая, если решение о комплексном развитии территории содержит сведения о документации по планировке территории, в соответствии с которой осуществляется ее комплексное развитие и которая соответству</w:t>
      </w:r>
      <w:r>
        <w:rPr>
          <w:sz w:val="28"/>
          <w:szCs w:val="28"/>
        </w:rPr>
        <w:t xml:space="preserve">ет видам разрешенного использования земельных участков и объектов капитального строительства и (или)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застройки);</w:t>
      </w:r>
      <w:r>
        <w:rPr>
          <w:rFonts w:ascii="Times New Roman" w:hAnsi="Times New Roman" w:eastAsia="Times New Roman" w:cs="Times New Roman"/>
          <w:sz w:val="24"/>
        </w:rPr>
      </w:r>
      <w:r/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обязательство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областного исполнительного органа Новосибирской области, уполномоченного в области градостроительной деятельности</w:t>
      </w:r>
      <w:r>
        <w:rPr>
          <w:sz w:val="28"/>
          <w:szCs w:val="28"/>
        </w:rPr>
        <w:t xml:space="preserve"> или органа местного самоуправления утвердить документацию по планировке территории, подлежащей комплексному развитию, срок его исполнения;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обязательство оператора о</w:t>
      </w:r>
      <w:r>
        <w:rPr>
          <w:sz w:val="28"/>
          <w:szCs w:val="28"/>
        </w:rPr>
        <w:t xml:space="preserve">беспечить </w:t>
      </w:r>
      <w:r>
        <w:rPr>
          <w:sz w:val="28"/>
          <w:szCs w:val="28"/>
        </w:rPr>
        <w:t xml:space="preserve">строительство, реконструкцию объектов капитального строительства на террит</w:t>
      </w:r>
      <w:r>
        <w:rPr>
          <w:sz w:val="28"/>
          <w:szCs w:val="28"/>
        </w:rPr>
        <w:t xml:space="preserve">ории, в отношении которой принято решение о комплексном развитии, в соответствии с утвержденной документацией по планировке территории, определенные на основании этой документации максимальные сроки осуществления строительства, реконструкции объектов капит</w:t>
      </w:r>
      <w:r>
        <w:rPr>
          <w:sz w:val="28"/>
          <w:szCs w:val="28"/>
        </w:rPr>
        <w:t xml:space="preserve">ального строительства, а также очередность (этапность) осуществления мероприятий по комплексному развитию территории в отношении двух и более несмежных территорий или их частей в случае заключения соглашения в отношении несмежных территорий или их частей;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обязательство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областного исполнительного органа Новосибирской области, уполномоченного в области имущества и земельных отношений</w:t>
      </w:r>
      <w:r>
        <w:rPr>
          <w:sz w:val="28"/>
          <w:szCs w:val="28"/>
        </w:rPr>
        <w:t xml:space="preserve"> или органа мест</w:t>
      </w:r>
      <w:r>
        <w:rPr>
          <w:sz w:val="28"/>
          <w:szCs w:val="28"/>
        </w:rPr>
        <w:t xml:space="preserve">ного самоуправления принять решение об изъятии для государственных или муниципальных нужд в целях комплексного развития территории земельных участков и (или) расположенных на них объектов недвижимого имущества в соответствии с земельным законодательством;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обязательство оператора или уполномоченного </w:t>
      </w:r>
      <w:r>
        <w:rPr>
          <w:sz w:val="28"/>
          <w:szCs w:val="28"/>
          <w:highlight w:val="red"/>
        </w:rPr>
      </w: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областного исполнительного органа Новосибирской области</w:t>
      </w:r>
      <w:r/>
      <w:r>
        <w:rPr>
          <w:sz w:val="28"/>
          <w:szCs w:val="28"/>
          <w:highlight w:val="red"/>
        </w:rPr>
      </w:r>
      <w:r>
        <w:rPr>
          <w:sz w:val="28"/>
          <w:szCs w:val="28"/>
        </w:rPr>
        <w:t xml:space="preserve"> либо органа местного самоуправления обеспечить </w:t>
      </w:r>
      <w:r>
        <w:rPr>
          <w:sz w:val="28"/>
          <w:szCs w:val="28"/>
        </w:rPr>
        <w:t xml:space="preserve">заключение договоров, предусматривающих переход прав на жилые помещения, расположенные в многоквартирных домах, включенных в решение о комплексном развитии территории жилой застройки, в соответствии со статьей 32.1 Жилищного кодекса Российской Федерации;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обязательство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областного исполнительного органа Новосибирской области, уполномоченного в области имущества и земельных отношений</w:t>
      </w:r>
      <w:r>
        <w:rPr>
          <w:sz w:val="28"/>
          <w:szCs w:val="28"/>
        </w:rPr>
        <w:t xml:space="preserve"> или органа местного самоуправления п</w:t>
      </w:r>
      <w:r>
        <w:rPr>
          <w:sz w:val="28"/>
          <w:szCs w:val="28"/>
        </w:rPr>
        <w:t xml:space="preserve">редоставить оператору в соответствии с земельным законодательством в аренду без проведения торгов земельные участки, которые находятся в государственной или муниципальной собственности или государственная собственность на которые не разграничена и которые </w:t>
      </w:r>
      <w:r>
        <w:rPr>
          <w:sz w:val="28"/>
          <w:szCs w:val="28"/>
        </w:rPr>
        <w:t xml:space="preserve">не обременены правами третьих лиц, в целях строительства объектов коммунальной, транспортной, социальной инфраструктур, иных объектов капитального строительства в соответствии с утвержденной документацией по планировке территории с правом передачи таких зе</w:t>
      </w:r>
      <w:r>
        <w:rPr>
          <w:sz w:val="28"/>
          <w:szCs w:val="28"/>
        </w:rPr>
        <w:t xml:space="preserve">мельных участков в субаренду, а также в соответствующих случаях обязательство выдать разрешения на использование земель и земельных участков, градостроительные планы земельных участков и разрешения на строительство, сроки выполнения указанных обязательств;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обязательства оператора по передаче в государственную или муниципальную собственность после окончания строительства объектов коммунальной, транспортной, социальной инфраструктур, иные объекты, помещения в таких объектах и условия их передачи;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</w:pPr>
      <w:r>
        <w:rPr>
          <w:sz w:val="28"/>
          <w:szCs w:val="28"/>
        </w:rPr>
        <w:t xml:space="preserve">обязательства профильного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областного исполнительного органа Новосибирской области</w:t>
      </w:r>
      <w:r>
        <w:rPr>
          <w:sz w:val="28"/>
          <w:szCs w:val="28"/>
          <w:highlight w:val="none"/>
        </w:rPr>
        <w:t xml:space="preserve"> или органа местного самоуправления по приня</w:t>
      </w:r>
      <w:r>
        <w:rPr>
          <w:sz w:val="28"/>
          <w:szCs w:val="28"/>
          <w:highlight w:val="none"/>
        </w:rPr>
        <w:t xml:space="preserve">ти</w:t>
      </w:r>
      <w:r>
        <w:rPr>
          <w:sz w:val="28"/>
          <w:szCs w:val="28"/>
        </w:rPr>
        <w:t xml:space="preserve">ю (выкупу) предусмотренных</w:t>
      </w:r>
      <w:r>
        <w:t xml:space="preserve"> </w:t>
      </w:r>
      <w:r>
        <w:rPr>
          <w:sz w:val="28"/>
          <w:szCs w:val="28"/>
        </w:rPr>
        <w:t xml:space="preserve">абзацем д</w:t>
      </w:r>
      <w:r>
        <w:rPr>
          <w:sz w:val="28"/>
          <w:szCs w:val="28"/>
        </w:rPr>
        <w:t xml:space="preserve">есятым </w:t>
      </w:r>
      <w:r>
        <w:rPr>
          <w:sz w:val="28"/>
          <w:szCs w:val="28"/>
        </w:rPr>
        <w:t xml:space="preserve">настоящего пункта Правил объектов недвижимости, сроки выполнения указанного обязательства;</w:t>
      </w:r>
      <w:r/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соглашения, который не может превышать предельный срок реализации решения о комплексном развитии территории, предусмотренный таким решением.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 В соглашении наряду со сведениями и условиями, предусмотренными пунктом 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настоящих Правил, могут быть предусмотрены: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обязательства оператора по подаче в орган регистрации прав заявления о государственной регистрации права собственности субъекта Российской Федерации или муниципального образования на объекты недвижимости, предусмотренные абзацем десятым пункта 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настоящих Правил</w:t>
      </w:r>
      <w:r>
        <w:rPr>
          <w:sz w:val="28"/>
          <w:szCs w:val="28"/>
        </w:rPr>
        <w:t xml:space="preserve">, при этом осуществление государственной регистрации права собственности оператора на указанные объекты недвижимости не осуществляется, заявление о государственной регистрации права государственной или муниципальной собственности подается без доверенности;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обязанность профильного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областного исполнительного органа Новосибирской области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или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органа местного самоуправления за свой счет обеспечить строительство и (или) реконструкцию о</w:t>
      </w:r>
      <w:r>
        <w:rPr>
          <w:sz w:val="28"/>
          <w:szCs w:val="28"/>
        </w:rPr>
        <w:t xml:space="preserve">бъектов транспортной, инженерной и социальной инфраструктур, необходимых для реализации решения о комплексном развитии территории (в том числе за границами территории комплексного развития или части такой территории), срок выполнения указанной обязанности;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обязательство оператора создать или приобрести жилые помещения для их предоставления гражданам взамен жилых помещений, освобождаемых ими в соответствии с жилищным законодательством Российской Федерации;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обязательство оператора уплатить или предоставить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областному исполнительному органу Новосибирской облас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ти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или органу местного самоуправления денежные средства для выплаты гражданам возмещения за жилые помещения в многоквартирных домах, признанных а</w:t>
      </w:r>
      <w:r>
        <w:rPr>
          <w:sz w:val="28"/>
          <w:szCs w:val="28"/>
        </w:rPr>
        <w:t xml:space="preserve">варийными и подлежащими сносу, за изымаемые для государственных или муниципальных нужд в соответствии с земельным законодательством земельные участки и (или) расположенные на них объекты недвижимости, максимальные сроки выполнения указанного обязательства;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 сторон за неисполнение или ненадлежащее исполнение соглашения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иные сведения и условия.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 Уполномоченный орган в течение 20 рабочих дней со дня поступления проекта соглашения рассматривает проект соглашения на предмет</w:t>
      </w:r>
      <w:r>
        <w:rPr>
          <w:sz w:val="28"/>
          <w:szCs w:val="28"/>
        </w:rPr>
        <w:t xml:space="preserve"> его соответствия решению Правительства Новосибирской области о комплексном развитии территории, а также требованиям настоящих Правил. В случае необходимости срок рассмотрения уполномоченным органом проекта соглашения может быть продлен до 40 рабочих дней.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</w:pPr>
      <w:r>
        <w:rPr>
          <w:sz w:val="28"/>
          <w:szCs w:val="28"/>
        </w:rPr>
        <w:t xml:space="preserve">9. При несоответствии проекта соглашения решению Правительства Новосибирской области о комплексном развитии территории, и (или) требованиям настоящих Прав</w:t>
      </w:r>
      <w:r>
        <w:rPr>
          <w:sz w:val="28"/>
          <w:szCs w:val="28"/>
        </w:rPr>
        <w:t xml:space="preserve">ил, в том числе при отсутствии согласования проекта соглашения главой местной администрации муниципального образования Новосибирской области (главами местных администраций муниципальных образований Новосибирской области) в случаях, предусмотренных пунктом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настоящих Правил, а также при наличии замечаний к содержанию проекта соглашения  уполномоченный орган возвращает проект соглашения оператору на доработку.</w:t>
      </w:r>
      <w:r/>
    </w:p>
    <w:p>
      <w:pPr>
        <w:ind w:firstLine="709"/>
        <w:jc w:val="both"/>
      </w:pPr>
      <w:r>
        <w:rPr>
          <w:sz w:val="28"/>
          <w:szCs w:val="28"/>
        </w:rPr>
        <w:t xml:space="preserve">10. В случае, предусмотренном пунктом 9 настоящих Правил, оператор осуществляет доработку проекта соглашения в т</w:t>
      </w:r>
      <w:r>
        <w:rPr>
          <w:sz w:val="28"/>
          <w:szCs w:val="28"/>
        </w:rPr>
        <w:t xml:space="preserve">ечение 20 рабочих дней со дня поступления замечаний к проекту соглашения и направляет доработанный проект соглашения в уполномоченный орган. По согласованию с уполномоченным органом срок устранения указанных замечаний может быть продлен до 40 рабочих дней.</w:t>
      </w:r>
      <w:r/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 При отсутствии замечаний, указанных в пункте 9 настоящих Правил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проект соглашения подлежит заключению оператором и уполномоченным органом, а в случае, предусмотренном пунктом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настоящих Правил, та</w:t>
      </w:r>
      <w:r>
        <w:rPr>
          <w:sz w:val="28"/>
          <w:szCs w:val="28"/>
        </w:rPr>
        <w:t xml:space="preserve">кже главой местной администрации муниципального образования Новосибирской области (главами местных администраций муниципальных образований Новосибирской области) в течение 10 рабочих дней со дня истечения срока, предусмотренного пунктом 8 настоящих Правил.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12. По инициативе</w:t>
      </w:r>
      <w:r>
        <w:rPr>
          <w:color w:val="000000" w:themeColor="text1"/>
          <w:sz w:val="28"/>
          <w:szCs w:val="28"/>
        </w:rPr>
        <w:t xml:space="preserve"> сторон в соглашение могут быть внесены изменения. Внесение изменений в соглашение осуществляется путем заключения сторонами дополнительных соглашений к соглашению в порядке, аналогичном порядку заключения соглашения.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 </w:t>
      </w:r>
      <w:r>
        <w:rPr>
          <w:color w:val="000000" w:themeColor="text1"/>
          <w:sz w:val="28"/>
          <w:szCs w:val="28"/>
        </w:rPr>
        <w:t xml:space="preserve">При осуществлении комплексного развития территории оператором самостоятельно закупка товаров, работ,</w:t>
      </w:r>
      <w:r>
        <w:rPr>
          <w:color w:val="000000" w:themeColor="text1"/>
          <w:sz w:val="28"/>
          <w:szCs w:val="28"/>
        </w:rPr>
        <w:t xml:space="preserve"> услуг, необходимых для реализации решения о комплексном развитии территории, производится в соответствии с требованиями Федеральных законов от 18.07.2011 № 223-ФЗ «О закупках товаров, работ, услуг отдельными видами юридических лиц», от 05.04.2013 № 44-ФЗ </w:t>
      </w:r>
      <w:r>
        <w:rPr>
          <w:color w:val="000000" w:themeColor="text1"/>
          <w:sz w:val="28"/>
          <w:szCs w:val="28"/>
        </w:rPr>
        <w:t xml:space="preserve">«О</w:t>
      </w:r>
      <w:r>
        <w:rPr>
          <w:color w:val="000000" w:themeColor="text1"/>
          <w:sz w:val="28"/>
          <w:szCs w:val="28"/>
        </w:rPr>
        <w:t xml:space="preserve"> </w:t>
      </w:r>
      <w:r>
        <w:rPr>
          <w:color w:val="000000" w:themeColor="text1"/>
          <w:sz w:val="28"/>
          <w:szCs w:val="28"/>
        </w:rPr>
        <w:t xml:space="preserve">контрактной системе в сфере закупок товаров, работ, услуг для обеспечения государственных и муниципальных нужд».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</w:t>
      </w:r>
      <w:r>
        <w:rPr>
          <w:color w:val="000000" w:themeColor="text1"/>
          <w:sz w:val="28"/>
          <w:szCs w:val="28"/>
        </w:rPr>
        <w:t xml:space="preserve">4</w:t>
      </w:r>
      <w:r>
        <w:rPr>
          <w:color w:val="000000" w:themeColor="text1"/>
          <w:sz w:val="28"/>
          <w:szCs w:val="28"/>
        </w:rPr>
        <w:t xml:space="preserve">. </w:t>
      </w:r>
      <w:bookmarkStart w:id="0" w:name="_Hlk179299506"/>
      <w:r>
        <w:rPr>
          <w:color w:val="000000" w:themeColor="text1"/>
          <w:sz w:val="28"/>
          <w:szCs w:val="28"/>
        </w:rPr>
        <w:t xml:space="preserve">При осуществлении комплексного развития </w:t>
      </w:r>
      <w:bookmarkEnd w:id="0"/>
      <w:r>
        <w:rPr>
          <w:color w:val="000000" w:themeColor="text1"/>
          <w:sz w:val="28"/>
          <w:szCs w:val="28"/>
        </w:rPr>
        <w:t xml:space="preserve">терр</w:t>
      </w:r>
      <w:r>
        <w:rPr>
          <w:color w:val="000000" w:themeColor="text1"/>
          <w:sz w:val="28"/>
          <w:szCs w:val="28"/>
        </w:rPr>
        <w:t xml:space="preserve">итории путем заключения оператором договора о комплексном развитии территории по результатам торгов (конкурса или аукциона) в соответствии со статьей 69 Градостроительного кодекса Российской Федерации, указанные торги проводятся в соответствии с порядком, </w:t>
      </w:r>
      <w:r>
        <w:rPr>
          <w:color w:val="000000" w:themeColor="text1"/>
          <w:sz w:val="28"/>
          <w:szCs w:val="28"/>
        </w:rPr>
        <w:t xml:space="preserve">установленным Правительством Российской Федерации.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</w:t>
      </w:r>
      <w:r>
        <w:rPr>
          <w:color w:val="000000" w:themeColor="text1"/>
          <w:sz w:val="28"/>
          <w:szCs w:val="28"/>
        </w:rPr>
        <w:t xml:space="preserve">5</w:t>
      </w:r>
      <w:r>
        <w:rPr>
          <w:color w:val="000000" w:themeColor="text1"/>
          <w:sz w:val="28"/>
          <w:szCs w:val="28"/>
        </w:rPr>
        <w:t xml:space="preserve">. </w:t>
      </w:r>
      <w:bookmarkStart w:id="1" w:name="_Hlk179299714"/>
      <w:r>
        <w:rPr>
          <w:color w:val="000000" w:themeColor="text1"/>
          <w:sz w:val="28"/>
          <w:szCs w:val="28"/>
        </w:rPr>
        <w:t xml:space="preserve">При осуществлении комплексного развития </w:t>
      </w:r>
      <w:r>
        <w:rPr>
          <w:sz w:val="28"/>
          <w:szCs w:val="28"/>
        </w:rPr>
        <w:t xml:space="preserve">путем привлечения оператором к реализации решения о комплексном развитии территории </w:t>
      </w:r>
      <w:bookmarkEnd w:id="1"/>
      <w:r>
        <w:rPr>
          <w:sz w:val="28"/>
          <w:szCs w:val="28"/>
        </w:rPr>
        <w:t xml:space="preserve">дочернего общества (дочерних обществ), указанные дочерние общества осуществляют закупку товаров, работ, услуг в соответствии с законодательством о закупках товаров, работ, услуг отдельными видами юридических лиц.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 При осуществлении комплексного развития путем привлечения оператором к реализации решения о комплексном развитии территории иных юридических лиц с передачей им в субаренду </w:t>
      </w:r>
      <w:r>
        <w:rPr>
          <w:color w:val="000000" w:themeColor="text1"/>
          <w:sz w:val="28"/>
          <w:szCs w:val="28"/>
        </w:rPr>
        <w:t xml:space="preserve">земельных участков, находящихся в государственной или муниципальной собственности, и предоставленных в аренду оператору, </w:t>
      </w:r>
      <w:r>
        <w:rPr>
          <w:sz w:val="28"/>
          <w:szCs w:val="28"/>
        </w:rPr>
        <w:t xml:space="preserve">заключение договоров субаренды осуществляется по результатам проведения торгов на право заключения договоров субаре</w:t>
      </w:r>
      <w:r>
        <w:rPr>
          <w:sz w:val="28"/>
          <w:szCs w:val="28"/>
        </w:rPr>
        <w:t xml:space="preserve">нды (за исключением случая предоставления земельных участков для размещения объектов, предназначенных для обеспечения электро-, тепло-, газо- и водоснабжения, водоотведения, связи, нефтепроводов, объектов федерального, регионального или местного значения).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17</w:t>
      </w:r>
      <w:r>
        <w:rPr>
          <w:color w:val="000000" w:themeColor="text1"/>
          <w:sz w:val="28"/>
          <w:szCs w:val="28"/>
        </w:rPr>
        <w:t xml:space="preserve">. В случае если в соответствии с соглашением в обязательства оператора включены мероп</w:t>
      </w:r>
      <w:r>
        <w:rPr>
          <w:color w:val="000000" w:themeColor="text1"/>
          <w:sz w:val="28"/>
          <w:szCs w:val="28"/>
        </w:rPr>
        <w:t xml:space="preserve">риятия по проектированию и (или) строительству объектов социальной инфраструктуры, техническое задание на проектирование объектов подлежат согласованию с профильным областным исполнительным органом Новосибирской области или органом местного самоуправления.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18</w:t>
      </w:r>
      <w:r>
        <w:rPr>
          <w:color w:val="000000" w:themeColor="text1"/>
          <w:sz w:val="28"/>
          <w:szCs w:val="28"/>
        </w:rPr>
        <w:t xml:space="preserve">. Оператор представляет информацию и отчетность о реализации заключенного соглашения в уполномоченный орган в порядке и сроки, установленные соглашением.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_________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sectPr>
      <w:headerReference w:type="default" r:id="rId9"/>
      <w:headerReference w:type="even" r:id="rId10"/>
      <w:footnotePr/>
      <w:endnotePr/>
      <w:type w:val="nextPage"/>
      <w:pgSz w:w="11907" w:h="16840" w:orient="portrait"/>
      <w:pgMar w:top="1135" w:right="567" w:bottom="851" w:left="1134" w:header="709" w:footer="709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Tahoma">
    <w:panose1 w:val="020B0604030504040204"/>
  </w:font>
  <w:font w:name="Courier">
    <w:panose1 w:val="02070309020205020404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149514644"/>
      <w:docPartObj>
        <w:docPartGallery w:val="Page Numbers (Top of Page)"/>
        <w:docPartUnique w:val="true"/>
      </w:docPartObj>
      <w:rPr/>
    </w:sdtPr>
    <w:sdtContent>
      <w:p>
        <w:pPr>
          <w:pStyle w:val="94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947"/>
      <w:tabs>
        <w:tab w:val="clear" w:pos="4153" w:leader="none"/>
        <w:tab w:val="center" w:pos="4961" w:leader="none"/>
        <w:tab w:val="clear" w:pos="8306" w:leader="none"/>
        <w:tab w:val="right" w:pos="9922" w:leader="none"/>
      </w:tabs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7"/>
      <w:rPr>
        <w:rStyle w:val="968"/>
      </w:rPr>
      <w:framePr w:wrap="around" w:vAnchor="text" w:hAnchor="margin" w:xAlign="center" w:y="1"/>
    </w:pPr>
    <w:r>
      <w:rPr>
        <w:rStyle w:val="968"/>
      </w:rPr>
      <w:fldChar w:fldCharType="begin"/>
    </w:r>
    <w:r>
      <w:rPr>
        <w:rStyle w:val="968"/>
      </w:rPr>
      <w:instrText xml:space="preserve">PAGE  </w:instrText>
    </w:r>
    <w:r>
      <w:rPr>
        <w:rStyle w:val="968"/>
      </w:rPr>
      <w:fldChar w:fldCharType="end"/>
    </w:r>
    <w:r>
      <w:rPr>
        <w:rStyle w:val="968"/>
      </w:rPr>
    </w:r>
    <w:r>
      <w:rPr>
        <w:rStyle w:val="968"/>
      </w:rPr>
    </w:r>
  </w:p>
  <w:p>
    <w:pPr>
      <w:pStyle w:val="94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90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  <w:tabs>
          <w:tab w:val="num" w:pos="1065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  <w:tabs>
          <w:tab w:val="num" w:pos="1785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  <w:tabs>
          <w:tab w:val="num" w:pos="2505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  <w:tabs>
          <w:tab w:val="num" w:pos="3225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  <w:tabs>
          <w:tab w:val="num" w:pos="3945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  <w:tabs>
          <w:tab w:val="num" w:pos="4665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  <w:tabs>
          <w:tab w:val="num" w:pos="5385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  <w:tabs>
          <w:tab w:val="num" w:pos="6105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  <w:tabs>
          <w:tab w:val="num" w:pos="6825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2" w:hanging="495"/>
        <w:tabs>
          <w:tab w:val="num" w:pos="1062" w:leader="none"/>
        </w:tabs>
      </w:pPr>
      <w:rPr>
        <w:rFonts w:hint="default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9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0" w:hanging="360"/>
        <w:tabs>
          <w:tab w:val="num" w:pos="128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4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1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65" w:hanging="82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65" w:hanging="82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2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2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4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-"/>
      <w:lvlJc w:val="left"/>
      <w:pPr>
        <w:ind w:left="4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80" w:hanging="180"/>
      </w:pPr>
    </w:lvl>
  </w:abstractNum>
  <w:abstractNum w:abstractNumId="26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2148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1"/>
  </w:num>
  <w:num w:numId="8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19"/>
  </w:num>
  <w:num w:numId="11">
    <w:abstractNumId w:val="21"/>
  </w:num>
  <w:num w:numId="12">
    <w:abstractNumId w:val="17"/>
  </w:num>
  <w:num w:numId="13">
    <w:abstractNumId w:val="20"/>
  </w:num>
  <w:num w:numId="14">
    <w:abstractNumId w:val="0"/>
  </w:num>
  <w:num w:numId="15">
    <w:abstractNumId w:val="4"/>
  </w:num>
  <w:num w:numId="16">
    <w:abstractNumId w:val="23"/>
  </w:num>
  <w:num w:numId="17">
    <w:abstractNumId w:val="7"/>
  </w:num>
  <w:num w:numId="18">
    <w:abstractNumId w:val="25"/>
  </w:num>
  <w:num w:numId="19">
    <w:abstractNumId w:val="18"/>
  </w:num>
  <w:num w:numId="20">
    <w:abstractNumId w:val="9"/>
  </w:num>
  <w:num w:numId="21">
    <w:abstractNumId w:val="2"/>
  </w:num>
  <w:num w:numId="22">
    <w:abstractNumId w:val="24"/>
  </w:num>
  <w:num w:numId="23">
    <w:abstractNumId w:val="26"/>
  </w:num>
  <w:num w:numId="24">
    <w:abstractNumId w:val="15"/>
  </w:num>
  <w:num w:numId="25">
    <w:abstractNumId w:val="14"/>
  </w:num>
  <w:num w:numId="26">
    <w:abstractNumId w:val="12"/>
  </w:num>
  <w:num w:numId="27">
    <w:abstractNumId w:val="27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52">
    <w:name w:val="Title Char"/>
    <w:basedOn w:val="768"/>
    <w:link w:val="781"/>
    <w:uiPriority w:val="10"/>
    <w:rPr>
      <w:sz w:val="48"/>
      <w:szCs w:val="48"/>
    </w:rPr>
  </w:style>
  <w:style w:type="character" w:styleId="753">
    <w:name w:val="Subtitle Char"/>
    <w:basedOn w:val="768"/>
    <w:link w:val="783"/>
    <w:uiPriority w:val="11"/>
    <w:rPr>
      <w:sz w:val="24"/>
      <w:szCs w:val="24"/>
    </w:rPr>
  </w:style>
  <w:style w:type="character" w:styleId="754">
    <w:name w:val="Quote Char"/>
    <w:link w:val="785"/>
    <w:uiPriority w:val="29"/>
    <w:rPr>
      <w:i/>
    </w:rPr>
  </w:style>
  <w:style w:type="character" w:styleId="755">
    <w:name w:val="Intense Quote Char"/>
    <w:link w:val="787"/>
    <w:uiPriority w:val="30"/>
    <w:rPr>
      <w:i/>
    </w:rPr>
  </w:style>
  <w:style w:type="character" w:styleId="756">
    <w:name w:val="Footnote Text Char"/>
    <w:link w:val="918"/>
    <w:uiPriority w:val="99"/>
    <w:rPr>
      <w:sz w:val="18"/>
    </w:rPr>
  </w:style>
  <w:style w:type="character" w:styleId="757">
    <w:name w:val="Endnote Text Char"/>
    <w:link w:val="921"/>
    <w:uiPriority w:val="99"/>
    <w:rPr>
      <w:sz w:val="20"/>
    </w:rPr>
  </w:style>
  <w:style w:type="paragraph" w:styleId="758" w:default="1">
    <w:name w:val="Normal"/>
    <w:qFormat/>
    <w:pPr>
      <w:spacing w:after="0" w:line="240" w:lineRule="auto"/>
    </w:pPr>
    <w:rPr>
      <w:sz w:val="20"/>
      <w:szCs w:val="20"/>
    </w:rPr>
  </w:style>
  <w:style w:type="paragraph" w:styleId="759">
    <w:name w:val="Heading 1"/>
    <w:basedOn w:val="758"/>
    <w:next w:val="758"/>
    <w:link w:val="935"/>
    <w:uiPriority w:val="99"/>
    <w:qFormat/>
    <w:pPr>
      <w:jc w:val="both"/>
      <w:keepNext/>
      <w:outlineLvl w:val="0"/>
    </w:pPr>
    <w:rPr>
      <w:sz w:val="24"/>
      <w:szCs w:val="24"/>
    </w:rPr>
  </w:style>
  <w:style w:type="paragraph" w:styleId="760">
    <w:name w:val="Heading 2"/>
    <w:basedOn w:val="758"/>
    <w:next w:val="758"/>
    <w:link w:val="936"/>
    <w:uiPriority w:val="99"/>
    <w:qFormat/>
    <w:pPr>
      <w:keepNext/>
      <w:widowControl w:val="off"/>
      <w:outlineLvl w:val="1"/>
    </w:pPr>
    <w:rPr>
      <w:sz w:val="28"/>
      <w:szCs w:val="28"/>
    </w:rPr>
  </w:style>
  <w:style w:type="paragraph" w:styleId="761">
    <w:name w:val="Heading 3"/>
    <w:basedOn w:val="758"/>
    <w:next w:val="758"/>
    <w:link w:val="937"/>
    <w:uiPriority w:val="99"/>
    <w:qFormat/>
    <w:pPr>
      <w:ind w:firstLine="708"/>
      <w:jc w:val="right"/>
      <w:keepNext/>
      <w:outlineLvl w:val="2"/>
    </w:pPr>
    <w:rPr>
      <w:sz w:val="28"/>
      <w:szCs w:val="28"/>
    </w:rPr>
  </w:style>
  <w:style w:type="paragraph" w:styleId="762">
    <w:name w:val="Heading 4"/>
    <w:basedOn w:val="758"/>
    <w:next w:val="758"/>
    <w:link w:val="938"/>
    <w:uiPriority w:val="99"/>
    <w:qFormat/>
    <w:pPr>
      <w:ind w:left="6237"/>
      <w:jc w:val="center"/>
      <w:keepNext/>
      <w:outlineLvl w:val="3"/>
    </w:pPr>
    <w:rPr>
      <w:color w:val="000000"/>
      <w:sz w:val="28"/>
      <w:szCs w:val="28"/>
    </w:rPr>
  </w:style>
  <w:style w:type="paragraph" w:styleId="763">
    <w:name w:val="Heading 5"/>
    <w:basedOn w:val="758"/>
    <w:next w:val="758"/>
    <w:link w:val="939"/>
    <w:uiPriority w:val="99"/>
    <w:qFormat/>
    <w:pPr>
      <w:jc w:val="both"/>
      <w:keepNext/>
      <w:outlineLvl w:val="4"/>
    </w:pPr>
    <w:rPr>
      <w:color w:val="000000"/>
      <w:sz w:val="28"/>
      <w:szCs w:val="28"/>
    </w:rPr>
  </w:style>
  <w:style w:type="paragraph" w:styleId="764">
    <w:name w:val="Heading 6"/>
    <w:basedOn w:val="758"/>
    <w:next w:val="758"/>
    <w:link w:val="940"/>
    <w:uiPriority w:val="99"/>
    <w:qFormat/>
    <w:pPr>
      <w:ind w:left="6237" w:right="-625"/>
      <w:jc w:val="center"/>
      <w:keepNext/>
      <w:outlineLvl w:val="5"/>
    </w:pPr>
    <w:rPr>
      <w:color w:val="000000"/>
      <w:sz w:val="28"/>
      <w:szCs w:val="28"/>
    </w:rPr>
  </w:style>
  <w:style w:type="paragraph" w:styleId="765">
    <w:name w:val="Heading 7"/>
    <w:basedOn w:val="758"/>
    <w:next w:val="758"/>
    <w:link w:val="941"/>
    <w:uiPriority w:val="99"/>
    <w:qFormat/>
    <w:pPr>
      <w:ind w:right="-2"/>
      <w:jc w:val="center"/>
      <w:keepNext/>
      <w:outlineLvl w:val="6"/>
    </w:pPr>
    <w:rPr>
      <w:b/>
      <w:bCs/>
      <w:color w:val="000000"/>
      <w:sz w:val="28"/>
      <w:szCs w:val="28"/>
    </w:rPr>
  </w:style>
  <w:style w:type="paragraph" w:styleId="766">
    <w:name w:val="Heading 8"/>
    <w:basedOn w:val="758"/>
    <w:next w:val="758"/>
    <w:link w:val="942"/>
    <w:uiPriority w:val="99"/>
    <w:qFormat/>
    <w:pPr>
      <w:ind w:left="6237" w:right="-2"/>
      <w:jc w:val="center"/>
      <w:keepNext/>
      <w:outlineLvl w:val="7"/>
    </w:pPr>
    <w:rPr>
      <w:color w:val="000000"/>
      <w:sz w:val="28"/>
      <w:szCs w:val="28"/>
    </w:rPr>
  </w:style>
  <w:style w:type="paragraph" w:styleId="767">
    <w:name w:val="Heading 9"/>
    <w:basedOn w:val="758"/>
    <w:next w:val="758"/>
    <w:link w:val="943"/>
    <w:uiPriority w:val="99"/>
    <w:qFormat/>
    <w:pPr>
      <w:ind w:firstLine="720"/>
      <w:jc w:val="right"/>
      <w:keepNext/>
      <w:outlineLvl w:val="8"/>
    </w:pPr>
    <w:rPr>
      <w:sz w:val="28"/>
      <w:szCs w:val="28"/>
    </w:rPr>
  </w:style>
  <w:style w:type="character" w:styleId="768" w:default="1">
    <w:name w:val="Default Paragraph Font"/>
    <w:uiPriority w:val="1"/>
    <w:semiHidden/>
    <w:unhideWhenUsed/>
  </w:style>
  <w:style w:type="table" w:styleId="76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0" w:default="1">
    <w:name w:val="No List"/>
    <w:uiPriority w:val="99"/>
    <w:semiHidden/>
    <w:unhideWhenUsed/>
  </w:style>
  <w:style w:type="character" w:styleId="771" w:customStyle="1">
    <w:name w:val="Heading 1 Char"/>
    <w:basedOn w:val="768"/>
    <w:uiPriority w:val="9"/>
    <w:rPr>
      <w:rFonts w:ascii="Arial" w:hAnsi="Arial" w:eastAsia="Arial" w:cs="Arial"/>
      <w:sz w:val="40"/>
      <w:szCs w:val="40"/>
    </w:rPr>
  </w:style>
  <w:style w:type="character" w:styleId="772" w:customStyle="1">
    <w:name w:val="Heading 2 Char"/>
    <w:basedOn w:val="768"/>
    <w:uiPriority w:val="9"/>
    <w:rPr>
      <w:rFonts w:ascii="Arial" w:hAnsi="Arial" w:eastAsia="Arial" w:cs="Arial"/>
      <w:sz w:val="34"/>
    </w:rPr>
  </w:style>
  <w:style w:type="character" w:styleId="773" w:customStyle="1">
    <w:name w:val="Heading 3 Char"/>
    <w:basedOn w:val="768"/>
    <w:uiPriority w:val="9"/>
    <w:rPr>
      <w:rFonts w:ascii="Arial" w:hAnsi="Arial" w:eastAsia="Arial" w:cs="Arial"/>
      <w:sz w:val="30"/>
      <w:szCs w:val="30"/>
    </w:rPr>
  </w:style>
  <w:style w:type="character" w:styleId="774" w:customStyle="1">
    <w:name w:val="Heading 4 Char"/>
    <w:basedOn w:val="768"/>
    <w:uiPriority w:val="9"/>
    <w:rPr>
      <w:rFonts w:ascii="Arial" w:hAnsi="Arial" w:eastAsia="Arial" w:cs="Arial"/>
      <w:b/>
      <w:bCs/>
      <w:sz w:val="26"/>
      <w:szCs w:val="26"/>
    </w:rPr>
  </w:style>
  <w:style w:type="character" w:styleId="775" w:customStyle="1">
    <w:name w:val="Heading 5 Char"/>
    <w:basedOn w:val="768"/>
    <w:uiPriority w:val="9"/>
    <w:rPr>
      <w:rFonts w:ascii="Arial" w:hAnsi="Arial" w:eastAsia="Arial" w:cs="Arial"/>
      <w:b/>
      <w:bCs/>
      <w:sz w:val="24"/>
      <w:szCs w:val="24"/>
    </w:rPr>
  </w:style>
  <w:style w:type="character" w:styleId="776" w:customStyle="1">
    <w:name w:val="Heading 6 Char"/>
    <w:basedOn w:val="768"/>
    <w:uiPriority w:val="9"/>
    <w:rPr>
      <w:rFonts w:ascii="Arial" w:hAnsi="Arial" w:eastAsia="Arial" w:cs="Arial"/>
      <w:b/>
      <w:bCs/>
      <w:sz w:val="22"/>
      <w:szCs w:val="22"/>
    </w:rPr>
  </w:style>
  <w:style w:type="character" w:styleId="777" w:customStyle="1">
    <w:name w:val="Heading 7 Char"/>
    <w:basedOn w:val="7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8" w:customStyle="1">
    <w:name w:val="Heading 8 Char"/>
    <w:basedOn w:val="768"/>
    <w:uiPriority w:val="9"/>
    <w:rPr>
      <w:rFonts w:ascii="Arial" w:hAnsi="Arial" w:eastAsia="Arial" w:cs="Arial"/>
      <w:i/>
      <w:iCs/>
      <w:sz w:val="22"/>
      <w:szCs w:val="22"/>
    </w:rPr>
  </w:style>
  <w:style w:type="character" w:styleId="779" w:customStyle="1">
    <w:name w:val="Heading 9 Char"/>
    <w:basedOn w:val="768"/>
    <w:uiPriority w:val="9"/>
    <w:rPr>
      <w:rFonts w:ascii="Arial" w:hAnsi="Arial" w:eastAsia="Arial" w:cs="Arial"/>
      <w:i/>
      <w:iCs/>
      <w:sz w:val="21"/>
      <w:szCs w:val="21"/>
    </w:rPr>
  </w:style>
  <w:style w:type="paragraph" w:styleId="780">
    <w:name w:val="No Spacing"/>
    <w:uiPriority w:val="1"/>
    <w:qFormat/>
    <w:pPr>
      <w:spacing w:after="0" w:line="240" w:lineRule="auto"/>
    </w:pPr>
  </w:style>
  <w:style w:type="paragraph" w:styleId="781">
    <w:name w:val="Title"/>
    <w:basedOn w:val="758"/>
    <w:next w:val="758"/>
    <w:link w:val="78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2" w:customStyle="1">
    <w:name w:val="Заголовок Знак"/>
    <w:basedOn w:val="768"/>
    <w:link w:val="781"/>
    <w:uiPriority w:val="10"/>
    <w:rPr>
      <w:sz w:val="48"/>
      <w:szCs w:val="48"/>
    </w:rPr>
  </w:style>
  <w:style w:type="paragraph" w:styleId="783">
    <w:name w:val="Subtitle"/>
    <w:basedOn w:val="758"/>
    <w:next w:val="758"/>
    <w:link w:val="784"/>
    <w:uiPriority w:val="11"/>
    <w:qFormat/>
    <w:pPr>
      <w:spacing w:before="200" w:after="200"/>
    </w:pPr>
    <w:rPr>
      <w:sz w:val="24"/>
      <w:szCs w:val="24"/>
    </w:rPr>
  </w:style>
  <w:style w:type="character" w:styleId="784" w:customStyle="1">
    <w:name w:val="Подзаголовок Знак"/>
    <w:basedOn w:val="768"/>
    <w:link w:val="783"/>
    <w:uiPriority w:val="11"/>
    <w:rPr>
      <w:sz w:val="24"/>
      <w:szCs w:val="24"/>
    </w:rPr>
  </w:style>
  <w:style w:type="paragraph" w:styleId="785">
    <w:name w:val="Quote"/>
    <w:basedOn w:val="758"/>
    <w:next w:val="758"/>
    <w:link w:val="786"/>
    <w:uiPriority w:val="29"/>
    <w:qFormat/>
    <w:pPr>
      <w:ind w:left="720" w:right="720"/>
    </w:pPr>
    <w:rPr>
      <w:i/>
    </w:rPr>
  </w:style>
  <w:style w:type="character" w:styleId="786" w:customStyle="1">
    <w:name w:val="Цитата 2 Знак"/>
    <w:link w:val="785"/>
    <w:uiPriority w:val="29"/>
    <w:rPr>
      <w:i/>
    </w:rPr>
  </w:style>
  <w:style w:type="paragraph" w:styleId="787">
    <w:name w:val="Intense Quote"/>
    <w:basedOn w:val="758"/>
    <w:next w:val="758"/>
    <w:link w:val="78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8" w:customStyle="1">
    <w:name w:val="Выделенная цитата Знак"/>
    <w:link w:val="787"/>
    <w:uiPriority w:val="30"/>
    <w:rPr>
      <w:i/>
    </w:rPr>
  </w:style>
  <w:style w:type="character" w:styleId="789" w:customStyle="1">
    <w:name w:val="Header Char"/>
    <w:basedOn w:val="768"/>
    <w:uiPriority w:val="99"/>
  </w:style>
  <w:style w:type="character" w:styleId="790" w:customStyle="1">
    <w:name w:val="Footer Char"/>
    <w:basedOn w:val="768"/>
    <w:uiPriority w:val="99"/>
  </w:style>
  <w:style w:type="paragraph" w:styleId="791">
    <w:name w:val="Caption"/>
    <w:basedOn w:val="758"/>
    <w:next w:val="75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2" w:customStyle="1">
    <w:name w:val="Caption Char"/>
    <w:uiPriority w:val="99"/>
  </w:style>
  <w:style w:type="table" w:styleId="793" w:customStyle="1">
    <w:name w:val="Table Grid Light"/>
    <w:basedOn w:val="76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94">
    <w:name w:val="Plain Table 1"/>
    <w:basedOn w:val="76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5">
    <w:name w:val="Plain Table 2"/>
    <w:basedOn w:val="76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6">
    <w:name w:val="Plain Table 3"/>
    <w:basedOn w:val="7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7">
    <w:name w:val="Plain Table 4"/>
    <w:basedOn w:val="7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Plain Table 5"/>
    <w:basedOn w:val="7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9">
    <w:name w:val="Grid Table 1 Light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Grid Table 1 Light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Grid Table 1 Light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Grid Table 1 Light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Grid Table 1 Light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Grid Table 1 Light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Grid Table 1 Light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Grid Table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2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2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2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2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2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2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3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3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3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3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3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3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4"/>
    <w:basedOn w:val="7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1" w:customStyle="1">
    <w:name w:val="Grid Table 4 - Accent 1"/>
    <w:basedOn w:val="7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22" w:customStyle="1">
    <w:name w:val="Grid Table 4 - Accent 2"/>
    <w:basedOn w:val="7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23" w:customStyle="1">
    <w:name w:val="Grid Table 4 - Accent 3"/>
    <w:basedOn w:val="7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24" w:customStyle="1">
    <w:name w:val="Grid Table 4 - Accent 4"/>
    <w:basedOn w:val="7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25" w:customStyle="1">
    <w:name w:val="Grid Table 4 - Accent 5"/>
    <w:basedOn w:val="7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26" w:customStyle="1">
    <w:name w:val="Grid Table 4 - Accent 6"/>
    <w:basedOn w:val="7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27">
    <w:name w:val="Grid Table 5 Dark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28" w:customStyle="1">
    <w:name w:val="Grid Table 5 Dark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29" w:customStyle="1">
    <w:name w:val="Grid Table 5 Dark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30" w:customStyle="1">
    <w:name w:val="Grid Table 5 Dark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31" w:customStyle="1">
    <w:name w:val="Grid Table 5 Dark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32" w:customStyle="1">
    <w:name w:val="Grid Table 5 Dark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33" w:customStyle="1">
    <w:name w:val="Grid Table 5 Dark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34">
    <w:name w:val="Grid Table 6 Colorful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5" w:customStyle="1">
    <w:name w:val="Grid Table 6 Colorful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36" w:customStyle="1">
    <w:name w:val="Grid Table 6 Colorful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37" w:customStyle="1">
    <w:name w:val="Grid Table 6 Colorful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38" w:customStyle="1">
    <w:name w:val="Grid Table 6 Colorful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39" w:customStyle="1">
    <w:name w:val="Grid Table 6 Colorful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0" w:customStyle="1">
    <w:name w:val="Grid Table 6 Colorful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1">
    <w:name w:val="Grid Table 7 Colorful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7 Colorful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7 Colorful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7 Colorful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7 Colorful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7 Colorful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7 Colorful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"/>
    <w:basedOn w:val="7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1 Light - Accent 1"/>
    <w:basedOn w:val="7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1 Light - Accent 2"/>
    <w:basedOn w:val="7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1 Light - Accent 3"/>
    <w:basedOn w:val="7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1 Light - Accent 4"/>
    <w:basedOn w:val="7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1 Light - Accent 5"/>
    <w:basedOn w:val="7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1 Light - Accent 6"/>
    <w:basedOn w:val="7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List Table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6" w:customStyle="1">
    <w:name w:val="List Table 2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57" w:customStyle="1">
    <w:name w:val="List Table 2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58" w:customStyle="1">
    <w:name w:val="List Table 2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59" w:customStyle="1">
    <w:name w:val="List Table 2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60" w:customStyle="1">
    <w:name w:val="List Table 2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61" w:customStyle="1">
    <w:name w:val="List Table 2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62">
    <w:name w:val="List Table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3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3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3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3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3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3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4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4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4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4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4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4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5 Dark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7" w:customStyle="1">
    <w:name w:val="List Table 5 Dark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8" w:customStyle="1">
    <w:name w:val="List Table 5 Dark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9" w:customStyle="1">
    <w:name w:val="List Table 5 Dark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0" w:customStyle="1">
    <w:name w:val="List Table 5 Dark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1" w:customStyle="1">
    <w:name w:val="List Table 5 Dark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2" w:customStyle="1">
    <w:name w:val="List Table 5 Dark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3">
    <w:name w:val="List Table 6 Colorful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84" w:customStyle="1">
    <w:name w:val="List Table 6 Colorful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85" w:customStyle="1">
    <w:name w:val="List Table 6 Colorful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86" w:customStyle="1">
    <w:name w:val="List Table 6 Colorful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87" w:customStyle="1">
    <w:name w:val="List Table 6 Colorful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88" w:customStyle="1">
    <w:name w:val="List Table 6 Colorful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89" w:customStyle="1">
    <w:name w:val="List Table 6 Colorful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90">
    <w:name w:val="List Table 7 Colorful"/>
    <w:basedOn w:val="7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List Table 7 Colorful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List Table 7 Colorful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st Table 7 Colorful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List Table 7 Colorful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List Table 7 Colorful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List Table 7 Colorful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ned - Accent"/>
    <w:basedOn w:val="769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8" w:customStyle="1">
    <w:name w:val="Lined - Accent 1"/>
    <w:basedOn w:val="769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99" w:customStyle="1">
    <w:name w:val="Lined - Accent 2"/>
    <w:basedOn w:val="769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0" w:customStyle="1">
    <w:name w:val="Lined - Accent 3"/>
    <w:basedOn w:val="769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01" w:customStyle="1">
    <w:name w:val="Lined - Accent 4"/>
    <w:basedOn w:val="769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02" w:customStyle="1">
    <w:name w:val="Lined - Accent 5"/>
    <w:basedOn w:val="769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03" w:customStyle="1">
    <w:name w:val="Lined - Accent 6"/>
    <w:basedOn w:val="769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04" w:customStyle="1">
    <w:name w:val="Bordered &amp; Lined - Accent"/>
    <w:basedOn w:val="769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5" w:customStyle="1">
    <w:name w:val="Bordered &amp; Lined - Accent 1"/>
    <w:basedOn w:val="769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06" w:customStyle="1">
    <w:name w:val="Bordered &amp; Lined - Accent 2"/>
    <w:basedOn w:val="769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7" w:customStyle="1">
    <w:name w:val="Bordered &amp; Lined - Accent 3"/>
    <w:basedOn w:val="769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08" w:customStyle="1">
    <w:name w:val="Bordered &amp; Lined - Accent 4"/>
    <w:basedOn w:val="769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09" w:customStyle="1">
    <w:name w:val="Bordered &amp; Lined - Accent 5"/>
    <w:basedOn w:val="769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0" w:customStyle="1">
    <w:name w:val="Bordered &amp; Lined - Accent 6"/>
    <w:basedOn w:val="769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1" w:customStyle="1">
    <w:name w:val="Bordered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12" w:customStyle="1">
    <w:name w:val="Bordered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13" w:customStyle="1">
    <w:name w:val="Bordered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14" w:customStyle="1">
    <w:name w:val="Bordered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15" w:customStyle="1">
    <w:name w:val="Bordered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16" w:customStyle="1">
    <w:name w:val="Bordered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17" w:customStyle="1">
    <w:name w:val="Bordered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18">
    <w:name w:val="footnote text"/>
    <w:basedOn w:val="758"/>
    <w:link w:val="919"/>
    <w:uiPriority w:val="99"/>
    <w:semiHidden/>
    <w:unhideWhenUsed/>
    <w:pPr>
      <w:spacing w:after="40"/>
    </w:pPr>
    <w:rPr>
      <w:sz w:val="18"/>
    </w:rPr>
  </w:style>
  <w:style w:type="character" w:styleId="919" w:customStyle="1">
    <w:name w:val="Текст сноски Знак"/>
    <w:link w:val="918"/>
    <w:uiPriority w:val="99"/>
    <w:rPr>
      <w:sz w:val="18"/>
    </w:rPr>
  </w:style>
  <w:style w:type="character" w:styleId="920">
    <w:name w:val="footnote reference"/>
    <w:basedOn w:val="768"/>
    <w:uiPriority w:val="99"/>
    <w:unhideWhenUsed/>
    <w:rPr>
      <w:vertAlign w:val="superscript"/>
    </w:rPr>
  </w:style>
  <w:style w:type="paragraph" w:styleId="921">
    <w:name w:val="endnote text"/>
    <w:basedOn w:val="758"/>
    <w:link w:val="922"/>
    <w:uiPriority w:val="99"/>
    <w:semiHidden/>
    <w:unhideWhenUsed/>
  </w:style>
  <w:style w:type="character" w:styleId="922" w:customStyle="1">
    <w:name w:val="Текст концевой сноски Знак"/>
    <w:link w:val="921"/>
    <w:uiPriority w:val="99"/>
    <w:rPr>
      <w:sz w:val="20"/>
    </w:rPr>
  </w:style>
  <w:style w:type="character" w:styleId="923">
    <w:name w:val="endnote reference"/>
    <w:basedOn w:val="768"/>
    <w:uiPriority w:val="99"/>
    <w:semiHidden/>
    <w:unhideWhenUsed/>
    <w:rPr>
      <w:vertAlign w:val="superscript"/>
    </w:rPr>
  </w:style>
  <w:style w:type="paragraph" w:styleId="924">
    <w:name w:val="toc 1"/>
    <w:basedOn w:val="758"/>
    <w:next w:val="758"/>
    <w:uiPriority w:val="39"/>
    <w:unhideWhenUsed/>
    <w:pPr>
      <w:spacing w:after="57"/>
    </w:pPr>
  </w:style>
  <w:style w:type="paragraph" w:styleId="925">
    <w:name w:val="toc 2"/>
    <w:basedOn w:val="758"/>
    <w:next w:val="758"/>
    <w:uiPriority w:val="39"/>
    <w:unhideWhenUsed/>
    <w:pPr>
      <w:ind w:left="283"/>
      <w:spacing w:after="57"/>
    </w:pPr>
  </w:style>
  <w:style w:type="paragraph" w:styleId="926">
    <w:name w:val="toc 3"/>
    <w:basedOn w:val="758"/>
    <w:next w:val="758"/>
    <w:uiPriority w:val="39"/>
    <w:unhideWhenUsed/>
    <w:pPr>
      <w:ind w:left="567"/>
      <w:spacing w:after="57"/>
    </w:pPr>
  </w:style>
  <w:style w:type="paragraph" w:styleId="927">
    <w:name w:val="toc 4"/>
    <w:basedOn w:val="758"/>
    <w:next w:val="758"/>
    <w:uiPriority w:val="39"/>
    <w:unhideWhenUsed/>
    <w:pPr>
      <w:ind w:left="850"/>
      <w:spacing w:after="57"/>
    </w:pPr>
  </w:style>
  <w:style w:type="paragraph" w:styleId="928">
    <w:name w:val="toc 5"/>
    <w:basedOn w:val="758"/>
    <w:next w:val="758"/>
    <w:uiPriority w:val="39"/>
    <w:unhideWhenUsed/>
    <w:pPr>
      <w:ind w:left="1134"/>
      <w:spacing w:after="57"/>
    </w:pPr>
  </w:style>
  <w:style w:type="paragraph" w:styleId="929">
    <w:name w:val="toc 6"/>
    <w:basedOn w:val="758"/>
    <w:next w:val="758"/>
    <w:uiPriority w:val="39"/>
    <w:unhideWhenUsed/>
    <w:pPr>
      <w:ind w:left="1417"/>
      <w:spacing w:after="57"/>
    </w:pPr>
  </w:style>
  <w:style w:type="paragraph" w:styleId="930">
    <w:name w:val="toc 7"/>
    <w:basedOn w:val="758"/>
    <w:next w:val="758"/>
    <w:uiPriority w:val="39"/>
    <w:unhideWhenUsed/>
    <w:pPr>
      <w:ind w:left="1701"/>
      <w:spacing w:after="57"/>
    </w:pPr>
  </w:style>
  <w:style w:type="paragraph" w:styleId="931">
    <w:name w:val="toc 8"/>
    <w:basedOn w:val="758"/>
    <w:next w:val="758"/>
    <w:uiPriority w:val="39"/>
    <w:unhideWhenUsed/>
    <w:pPr>
      <w:ind w:left="1984"/>
      <w:spacing w:after="57"/>
    </w:pPr>
  </w:style>
  <w:style w:type="paragraph" w:styleId="932">
    <w:name w:val="toc 9"/>
    <w:basedOn w:val="758"/>
    <w:next w:val="758"/>
    <w:uiPriority w:val="39"/>
    <w:unhideWhenUsed/>
    <w:pPr>
      <w:ind w:left="2268"/>
      <w:spacing w:after="57"/>
    </w:pPr>
  </w:style>
  <w:style w:type="paragraph" w:styleId="933">
    <w:name w:val="TOC Heading"/>
    <w:uiPriority w:val="39"/>
    <w:unhideWhenUsed/>
  </w:style>
  <w:style w:type="paragraph" w:styleId="934">
    <w:name w:val="table of figures"/>
    <w:basedOn w:val="758"/>
    <w:next w:val="758"/>
    <w:uiPriority w:val="99"/>
    <w:unhideWhenUsed/>
  </w:style>
  <w:style w:type="character" w:styleId="935" w:customStyle="1">
    <w:name w:val="Заголовок 1 Знак"/>
    <w:basedOn w:val="768"/>
    <w:link w:val="759"/>
    <w:uiPriority w:val="99"/>
    <w:rPr>
      <w:rFonts w:ascii="Cambria" w:hAnsi="Cambria" w:cs="Times New Roman"/>
      <w:b/>
      <w:bCs/>
      <w:sz w:val="32"/>
      <w:szCs w:val="32"/>
    </w:rPr>
  </w:style>
  <w:style w:type="character" w:styleId="936" w:customStyle="1">
    <w:name w:val="Заголовок 2 Знак"/>
    <w:basedOn w:val="768"/>
    <w:link w:val="760"/>
    <w:uiPriority w:val="99"/>
    <w:semiHidden/>
    <w:rPr>
      <w:rFonts w:ascii="Cambria" w:hAnsi="Cambria" w:cs="Times New Roman"/>
      <w:b/>
      <w:bCs/>
      <w:i/>
      <w:iCs/>
      <w:sz w:val="28"/>
      <w:szCs w:val="28"/>
    </w:rPr>
  </w:style>
  <w:style w:type="character" w:styleId="937" w:customStyle="1">
    <w:name w:val="Заголовок 3 Знак"/>
    <w:basedOn w:val="768"/>
    <w:link w:val="761"/>
    <w:uiPriority w:val="99"/>
    <w:semiHidden/>
    <w:rPr>
      <w:rFonts w:ascii="Cambria" w:hAnsi="Cambria" w:cs="Times New Roman"/>
      <w:b/>
      <w:bCs/>
      <w:sz w:val="26"/>
      <w:szCs w:val="26"/>
    </w:rPr>
  </w:style>
  <w:style w:type="character" w:styleId="938" w:customStyle="1">
    <w:name w:val="Заголовок 4 Знак"/>
    <w:basedOn w:val="768"/>
    <w:link w:val="762"/>
    <w:uiPriority w:val="99"/>
    <w:semiHidden/>
    <w:rPr>
      <w:rFonts w:ascii="Calibri" w:hAnsi="Calibri" w:cs="Times New Roman"/>
      <w:b/>
      <w:bCs/>
      <w:sz w:val="28"/>
      <w:szCs w:val="28"/>
    </w:rPr>
  </w:style>
  <w:style w:type="character" w:styleId="939" w:customStyle="1">
    <w:name w:val="Заголовок 5 Знак"/>
    <w:basedOn w:val="768"/>
    <w:link w:val="763"/>
    <w:uiPriority w:val="99"/>
    <w:semiHidden/>
    <w:rPr>
      <w:rFonts w:ascii="Calibri" w:hAnsi="Calibri" w:cs="Times New Roman"/>
      <w:b/>
      <w:bCs/>
      <w:i/>
      <w:iCs/>
      <w:sz w:val="26"/>
      <w:szCs w:val="26"/>
    </w:rPr>
  </w:style>
  <w:style w:type="character" w:styleId="940" w:customStyle="1">
    <w:name w:val="Заголовок 6 Знак"/>
    <w:basedOn w:val="768"/>
    <w:link w:val="764"/>
    <w:uiPriority w:val="99"/>
    <w:semiHidden/>
    <w:rPr>
      <w:rFonts w:ascii="Calibri" w:hAnsi="Calibri" w:cs="Times New Roman"/>
      <w:b/>
      <w:bCs/>
    </w:rPr>
  </w:style>
  <w:style w:type="character" w:styleId="941" w:customStyle="1">
    <w:name w:val="Заголовок 7 Знак"/>
    <w:basedOn w:val="768"/>
    <w:link w:val="765"/>
    <w:uiPriority w:val="99"/>
    <w:semiHidden/>
    <w:rPr>
      <w:rFonts w:ascii="Calibri" w:hAnsi="Calibri" w:cs="Times New Roman"/>
      <w:sz w:val="24"/>
      <w:szCs w:val="24"/>
    </w:rPr>
  </w:style>
  <w:style w:type="character" w:styleId="942" w:customStyle="1">
    <w:name w:val="Заголовок 8 Знак"/>
    <w:basedOn w:val="768"/>
    <w:link w:val="766"/>
    <w:uiPriority w:val="99"/>
    <w:semiHidden/>
    <w:rPr>
      <w:rFonts w:ascii="Calibri" w:hAnsi="Calibri" w:cs="Times New Roman"/>
      <w:i/>
      <w:iCs/>
      <w:sz w:val="24"/>
      <w:szCs w:val="24"/>
    </w:rPr>
  </w:style>
  <w:style w:type="character" w:styleId="943" w:customStyle="1">
    <w:name w:val="Заголовок 9 Знак"/>
    <w:basedOn w:val="768"/>
    <w:link w:val="767"/>
    <w:uiPriority w:val="99"/>
    <w:semiHidden/>
    <w:rPr>
      <w:rFonts w:ascii="Cambria" w:hAnsi="Cambria" w:cs="Times New Roman"/>
    </w:rPr>
  </w:style>
  <w:style w:type="paragraph" w:styleId="944" w:customStyle="1">
    <w:name w:val="заголовок 1"/>
    <w:basedOn w:val="758"/>
    <w:next w:val="758"/>
    <w:uiPriority w:val="99"/>
    <w:pPr>
      <w:jc w:val="center"/>
      <w:keepNext/>
      <w:outlineLvl w:val="0"/>
    </w:pPr>
    <w:rPr>
      <w:b/>
      <w:bCs/>
      <w:sz w:val="28"/>
      <w:szCs w:val="28"/>
    </w:rPr>
  </w:style>
  <w:style w:type="paragraph" w:styleId="945" w:customStyle="1">
    <w:name w:val="заголовок 2"/>
    <w:basedOn w:val="758"/>
    <w:next w:val="758"/>
    <w:uiPriority w:val="99"/>
    <w:pPr>
      <w:jc w:val="center"/>
      <w:keepNext/>
      <w:outlineLvl w:val="1"/>
    </w:pPr>
    <w:rPr>
      <w:sz w:val="28"/>
      <w:szCs w:val="28"/>
    </w:rPr>
  </w:style>
  <w:style w:type="character" w:styleId="946" w:customStyle="1">
    <w:name w:val="Основной шрифт"/>
    <w:uiPriority w:val="99"/>
  </w:style>
  <w:style w:type="paragraph" w:styleId="947">
    <w:name w:val="Header"/>
    <w:basedOn w:val="758"/>
    <w:link w:val="948"/>
    <w:uiPriority w:val="99"/>
    <w:pPr>
      <w:tabs>
        <w:tab w:val="center" w:pos="4153" w:leader="none"/>
        <w:tab w:val="right" w:pos="8306" w:leader="none"/>
      </w:tabs>
    </w:pPr>
  </w:style>
  <w:style w:type="character" w:styleId="948" w:customStyle="1">
    <w:name w:val="Верхний колонтитул Знак"/>
    <w:basedOn w:val="768"/>
    <w:link w:val="947"/>
    <w:uiPriority w:val="99"/>
    <w:rPr>
      <w:rFonts w:cs="Times New Roman"/>
      <w:sz w:val="20"/>
      <w:szCs w:val="20"/>
    </w:rPr>
  </w:style>
  <w:style w:type="character" w:styleId="949" w:customStyle="1">
    <w:name w:val="номер страницы"/>
    <w:basedOn w:val="946"/>
    <w:uiPriority w:val="99"/>
    <w:rPr>
      <w:rFonts w:cs="Times New Roman"/>
    </w:rPr>
  </w:style>
  <w:style w:type="paragraph" w:styleId="950">
    <w:name w:val="Body Text"/>
    <w:basedOn w:val="758"/>
    <w:link w:val="951"/>
    <w:uiPriority w:val="99"/>
    <w:pPr>
      <w:jc w:val="both"/>
    </w:pPr>
    <w:rPr>
      <w:sz w:val="28"/>
      <w:szCs w:val="28"/>
    </w:rPr>
  </w:style>
  <w:style w:type="character" w:styleId="951" w:customStyle="1">
    <w:name w:val="Основной текст Знак"/>
    <w:basedOn w:val="768"/>
    <w:link w:val="950"/>
    <w:uiPriority w:val="99"/>
    <w:semiHidden/>
    <w:rPr>
      <w:rFonts w:cs="Times New Roman"/>
      <w:sz w:val="20"/>
      <w:szCs w:val="20"/>
    </w:rPr>
  </w:style>
  <w:style w:type="paragraph" w:styleId="952">
    <w:name w:val="Body Text 2"/>
    <w:basedOn w:val="758"/>
    <w:link w:val="953"/>
    <w:uiPriority w:val="99"/>
    <w:pPr>
      <w:jc w:val="both"/>
    </w:pPr>
    <w:rPr>
      <w:sz w:val="28"/>
      <w:szCs w:val="28"/>
    </w:rPr>
  </w:style>
  <w:style w:type="character" w:styleId="953" w:customStyle="1">
    <w:name w:val="Основной текст 2 Знак"/>
    <w:basedOn w:val="768"/>
    <w:link w:val="952"/>
    <w:uiPriority w:val="99"/>
    <w:semiHidden/>
    <w:rPr>
      <w:rFonts w:cs="Times New Roman"/>
      <w:sz w:val="20"/>
      <w:szCs w:val="20"/>
    </w:rPr>
  </w:style>
  <w:style w:type="paragraph" w:styleId="954">
    <w:name w:val="Body Text Indent 2"/>
    <w:basedOn w:val="758"/>
    <w:link w:val="955"/>
    <w:uiPriority w:val="99"/>
    <w:pPr>
      <w:ind w:firstLine="709"/>
      <w:jc w:val="both"/>
    </w:pPr>
    <w:rPr>
      <w:sz w:val="28"/>
      <w:szCs w:val="28"/>
    </w:rPr>
  </w:style>
  <w:style w:type="character" w:styleId="955" w:customStyle="1">
    <w:name w:val="Основной текст с отступом 2 Знак"/>
    <w:basedOn w:val="768"/>
    <w:link w:val="954"/>
    <w:uiPriority w:val="99"/>
    <w:semiHidden/>
    <w:rPr>
      <w:rFonts w:cs="Times New Roman"/>
      <w:sz w:val="20"/>
      <w:szCs w:val="20"/>
    </w:rPr>
  </w:style>
  <w:style w:type="paragraph" w:styleId="956">
    <w:name w:val="Footer"/>
    <w:basedOn w:val="758"/>
    <w:link w:val="957"/>
    <w:uiPriority w:val="99"/>
    <w:pPr>
      <w:tabs>
        <w:tab w:val="center" w:pos="4153" w:leader="none"/>
        <w:tab w:val="right" w:pos="8306" w:leader="none"/>
      </w:tabs>
    </w:pPr>
  </w:style>
  <w:style w:type="character" w:styleId="957" w:customStyle="1">
    <w:name w:val="Нижний колонтитул Знак"/>
    <w:basedOn w:val="768"/>
    <w:link w:val="956"/>
    <w:uiPriority w:val="99"/>
    <w:rPr>
      <w:rFonts w:cs="Times New Roman"/>
      <w:sz w:val="20"/>
      <w:szCs w:val="20"/>
    </w:rPr>
  </w:style>
  <w:style w:type="paragraph" w:styleId="958">
    <w:name w:val="Body Text Indent 3"/>
    <w:basedOn w:val="758"/>
    <w:link w:val="959"/>
    <w:uiPriority w:val="99"/>
    <w:pPr>
      <w:ind w:firstLine="720"/>
      <w:jc w:val="both"/>
    </w:pPr>
    <w:rPr>
      <w:color w:val="000000"/>
      <w:sz w:val="28"/>
      <w:szCs w:val="28"/>
    </w:rPr>
  </w:style>
  <w:style w:type="character" w:styleId="959" w:customStyle="1">
    <w:name w:val="Основной текст с отступом 3 Знак"/>
    <w:basedOn w:val="768"/>
    <w:link w:val="958"/>
    <w:uiPriority w:val="99"/>
    <w:semiHidden/>
    <w:rPr>
      <w:rFonts w:cs="Times New Roman"/>
      <w:sz w:val="16"/>
      <w:szCs w:val="16"/>
    </w:rPr>
  </w:style>
  <w:style w:type="paragraph" w:styleId="960" w:customStyle="1">
    <w:name w:val="ConsNonformat"/>
    <w:uiPriority w:val="99"/>
    <w:pPr>
      <w:spacing w:after="0" w:line="240" w:lineRule="auto"/>
      <w:widowControl w:val="off"/>
    </w:pPr>
    <w:rPr>
      <w:rFonts w:ascii="Courier New" w:hAnsi="Courier New" w:cs="Courier New"/>
      <w:sz w:val="20"/>
      <w:szCs w:val="20"/>
    </w:rPr>
  </w:style>
  <w:style w:type="paragraph" w:styleId="961" w:customStyle="1">
    <w:name w:val="ConsNormal"/>
    <w:uiPriority w:val="99"/>
    <w:pPr>
      <w:ind w:firstLine="720"/>
      <w:spacing w:after="0" w:line="240" w:lineRule="auto"/>
      <w:widowControl w:val="off"/>
    </w:pPr>
    <w:rPr>
      <w:rFonts w:ascii="Courier" w:hAnsi="Courier" w:cs="Courier"/>
      <w:sz w:val="20"/>
      <w:szCs w:val="20"/>
    </w:rPr>
  </w:style>
  <w:style w:type="paragraph" w:styleId="962" w:customStyle="1">
    <w:name w:val="ConsTitle"/>
    <w:uiPriority w:val="99"/>
    <w:pPr>
      <w:spacing w:after="0" w:line="240" w:lineRule="auto"/>
      <w:widowControl w:val="off"/>
    </w:pPr>
    <w:rPr>
      <w:rFonts w:ascii="Arial" w:hAnsi="Arial" w:cs="Arial"/>
      <w:b/>
      <w:bCs/>
      <w:sz w:val="16"/>
      <w:szCs w:val="16"/>
    </w:rPr>
  </w:style>
  <w:style w:type="table" w:styleId="963">
    <w:name w:val="Table Grid"/>
    <w:basedOn w:val="769"/>
    <w:uiPriority w:val="39"/>
    <w:pPr>
      <w:spacing w:after="0" w:line="240" w:lineRule="auto"/>
    </w:pPr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64">
    <w:name w:val="Body Text Indent"/>
    <w:basedOn w:val="758"/>
    <w:link w:val="965"/>
    <w:uiPriority w:val="99"/>
    <w:pPr>
      <w:ind w:left="283"/>
      <w:spacing w:after="120"/>
    </w:pPr>
  </w:style>
  <w:style w:type="character" w:styleId="965" w:customStyle="1">
    <w:name w:val="Основной текст с отступом Знак"/>
    <w:basedOn w:val="768"/>
    <w:link w:val="964"/>
    <w:uiPriority w:val="99"/>
    <w:semiHidden/>
    <w:rPr>
      <w:rFonts w:cs="Times New Roman"/>
      <w:sz w:val="20"/>
      <w:szCs w:val="20"/>
    </w:rPr>
  </w:style>
  <w:style w:type="paragraph" w:styleId="966">
    <w:name w:val="Balloon Text"/>
    <w:basedOn w:val="758"/>
    <w:link w:val="967"/>
    <w:uiPriority w:val="99"/>
    <w:semiHidden/>
    <w:rPr>
      <w:rFonts w:ascii="Tahoma" w:hAnsi="Tahoma" w:cs="Tahoma"/>
      <w:sz w:val="16"/>
      <w:szCs w:val="16"/>
    </w:rPr>
  </w:style>
  <w:style w:type="character" w:styleId="967" w:customStyle="1">
    <w:name w:val="Текст выноски Знак"/>
    <w:basedOn w:val="768"/>
    <w:link w:val="966"/>
    <w:uiPriority w:val="99"/>
    <w:semiHidden/>
    <w:rPr>
      <w:rFonts w:ascii="Tahoma" w:hAnsi="Tahoma" w:cs="Tahoma"/>
      <w:sz w:val="16"/>
      <w:szCs w:val="16"/>
    </w:rPr>
  </w:style>
  <w:style w:type="character" w:styleId="968">
    <w:name w:val="page number"/>
    <w:basedOn w:val="768"/>
    <w:uiPriority w:val="99"/>
    <w:rPr>
      <w:rFonts w:cs="Times New Roman"/>
    </w:rPr>
  </w:style>
  <w:style w:type="table" w:styleId="969" w:customStyle="1">
    <w:name w:val="Сетка таблицы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70" w:customStyle="1">
    <w:name w:val="ConsPlusNormal"/>
    <w:pPr>
      <w:ind w:firstLine="720"/>
      <w:spacing w:after="0" w:line="240" w:lineRule="auto"/>
      <w:widowControl w:val="off"/>
    </w:pPr>
    <w:rPr>
      <w:rFonts w:ascii="Arial" w:hAnsi="Arial" w:cs="Arial"/>
      <w:sz w:val="20"/>
      <w:szCs w:val="20"/>
    </w:rPr>
  </w:style>
  <w:style w:type="character" w:styleId="971">
    <w:name w:val="Hyperlink"/>
    <w:basedOn w:val="768"/>
    <w:uiPriority w:val="99"/>
    <w:semiHidden/>
    <w:unhideWhenUsed/>
    <w:rPr>
      <w:rFonts w:cs="Times New Roman"/>
      <w:color w:val="0000ff"/>
      <w:u w:val="single"/>
    </w:rPr>
  </w:style>
  <w:style w:type="paragraph" w:styleId="972" w:customStyle="1">
    <w:name w:val="ConsPlusCell"/>
    <w:uiPriority w:val="99"/>
    <w:pPr>
      <w:spacing w:after="0" w:line="240" w:lineRule="auto"/>
    </w:pPr>
    <w:rPr>
      <w:sz w:val="28"/>
      <w:szCs w:val="28"/>
    </w:rPr>
  </w:style>
  <w:style w:type="paragraph" w:styleId="973">
    <w:name w:val="List Paragraph"/>
    <w:basedOn w:val="758"/>
    <w:uiPriority w:val="34"/>
    <w:qFormat/>
    <w:pPr>
      <w:contextualSpacing/>
      <w:ind w:left="720"/>
    </w:pPr>
  </w:style>
  <w:style w:type="paragraph" w:styleId="974" w:customStyle="1">
    <w:name w:val="formattext"/>
    <w:basedOn w:val="758"/>
    <w:pPr>
      <w:spacing w:before="100" w:beforeAutospacing="1" w:after="100" w:afterAutospacing="1"/>
    </w:pPr>
    <w:rPr>
      <w:sz w:val="24"/>
      <w:szCs w:val="24"/>
    </w:rPr>
  </w:style>
  <w:style w:type="character" w:styleId="975">
    <w:name w:val="Strong"/>
    <w:basedOn w:val="768"/>
    <w:uiPriority w:val="22"/>
    <w:qFormat/>
    <w:rPr>
      <w:b/>
      <w:bCs/>
    </w:rPr>
  </w:style>
  <w:style w:type="paragraph" w:styleId="976" w:customStyle="1">
    <w:name w:val="headertext"/>
    <w:basedOn w:val="758"/>
    <w:pPr>
      <w:spacing w:before="100" w:beforeAutospacing="1" w:after="100" w:afterAutospacing="1"/>
    </w:pPr>
    <w:rPr>
      <w:sz w:val="24"/>
      <w:szCs w:val="24"/>
      <w:lang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699355E-AA83-4D8B-9DCB-CD87AB1EC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Р7-Офис/2024.3.2.584</Application>
  <Company>АГНОиПНО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revision>35</cp:revision>
  <dcterms:created xsi:type="dcterms:W3CDTF">2022-07-18T04:32:00Z</dcterms:created>
  <dcterms:modified xsi:type="dcterms:W3CDTF">2024-10-17T03:02:56Z</dcterms:modified>
</cp:coreProperties>
</file>