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06D5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653"/>
      </w:tblGrid>
      <w:tr w:rsidR="00830C3B" w:rsidRPr="001F09DF" w:rsidTr="00286069">
        <w:trPr>
          <w:trHeight w:val="1094"/>
        </w:trPr>
        <w:tc>
          <w:tcPr>
            <w:tcW w:w="5653" w:type="dxa"/>
          </w:tcPr>
          <w:p w:rsidR="00830C3B" w:rsidRPr="001F09DF" w:rsidRDefault="00DE6383" w:rsidP="004834B7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4834B7" w:rsidRPr="004834B7">
              <w:rPr>
                <w:sz w:val="27"/>
                <w:szCs w:val="27"/>
              </w:rPr>
              <w:t xml:space="preserve">Анохину А. С.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A67926">
              <w:t xml:space="preserve"> </w:t>
            </w:r>
            <w:r w:rsidR="00A67926" w:rsidRPr="00A67926">
              <w:rPr>
                <w:color w:val="000000" w:themeColor="text1"/>
                <w:sz w:val="27"/>
                <w:szCs w:val="27"/>
              </w:rPr>
              <w:t>и объект</w:t>
            </w:r>
            <w:r w:rsidR="004834B7">
              <w:rPr>
                <w:color w:val="000000" w:themeColor="text1"/>
                <w:sz w:val="27"/>
                <w:szCs w:val="27"/>
              </w:rPr>
              <w:t>ов</w:t>
            </w:r>
            <w:r w:rsidR="00A67926" w:rsidRPr="00A67926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4834B7" w:rsidRDefault="00266518" w:rsidP="004834B7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</w:t>
      </w:r>
      <w:r>
        <w:t> 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4834B7" w:rsidRPr="004834B7">
        <w:rPr>
          <w:sz w:val="27"/>
          <w:szCs w:val="27"/>
        </w:rPr>
        <w:t xml:space="preserve">Анохину А. С. </w:t>
      </w:r>
      <w:r w:rsidR="00A92CCC" w:rsidRPr="001F09DF">
        <w:rPr>
          <w:sz w:val="27"/>
          <w:szCs w:val="27"/>
        </w:rPr>
        <w:t xml:space="preserve">разрешение </w:t>
      </w:r>
      <w:r w:rsidR="004834B7" w:rsidRPr="004834B7">
        <w:rPr>
          <w:sz w:val="27"/>
          <w:szCs w:val="27"/>
        </w:rPr>
        <w:t>на условно разрешенный вид использования земельного участка с кадастровым номером 54:35:052055:6</w:t>
      </w:r>
      <w:r w:rsidR="004834B7">
        <w:rPr>
          <w:sz w:val="27"/>
          <w:szCs w:val="27"/>
        </w:rPr>
        <w:t>1 площадью 3793 кв. м с местопо</w:t>
      </w:r>
      <w:r w:rsidR="004834B7" w:rsidRPr="004834B7">
        <w:rPr>
          <w:sz w:val="27"/>
          <w:szCs w:val="27"/>
        </w:rPr>
        <w:t xml:space="preserve">ложением: установлено относительно ориентира, расположенного за пределами участка, ориентир – проходная </w:t>
      </w:r>
      <w:proofErr w:type="spellStart"/>
      <w:r w:rsidR="004834B7" w:rsidRPr="004834B7">
        <w:rPr>
          <w:sz w:val="27"/>
          <w:szCs w:val="27"/>
        </w:rPr>
        <w:t>оловокомбината</w:t>
      </w:r>
      <w:proofErr w:type="spellEnd"/>
      <w:r w:rsidR="004834B7" w:rsidRPr="004834B7">
        <w:rPr>
          <w:sz w:val="27"/>
          <w:szCs w:val="27"/>
        </w:rPr>
        <w:t xml:space="preserve"> по адресу: Российская Федерация, Новосибирская </w:t>
      </w:r>
      <w:r w:rsidR="004834B7">
        <w:rPr>
          <w:sz w:val="27"/>
          <w:szCs w:val="27"/>
        </w:rPr>
        <w:t>область, город Новосибирск, ул. </w:t>
      </w:r>
      <w:r w:rsidR="004834B7" w:rsidRPr="004834B7">
        <w:rPr>
          <w:sz w:val="27"/>
          <w:szCs w:val="27"/>
        </w:rPr>
        <w:t xml:space="preserve">Мира, 60, и объектов капитального строительства (зона специализированной общественной застройки (ОД-4), </w:t>
      </w:r>
      <w:proofErr w:type="spellStart"/>
      <w:r w:rsidR="004834B7" w:rsidRPr="004834B7">
        <w:rPr>
          <w:sz w:val="27"/>
          <w:szCs w:val="27"/>
        </w:rPr>
        <w:t>подзона</w:t>
      </w:r>
      <w:proofErr w:type="spellEnd"/>
      <w:r w:rsidR="004834B7" w:rsidRPr="004834B7">
        <w:rPr>
          <w:sz w:val="27"/>
          <w:szCs w:val="27"/>
        </w:rPr>
        <w:t xml:space="preserve"> специализированной малоэтажной общественной застройки </w:t>
      </w:r>
      <w:r w:rsidR="009118C1">
        <w:rPr>
          <w:sz w:val="27"/>
          <w:szCs w:val="27"/>
        </w:rPr>
        <w:t>(ОД-4.1))</w:t>
      </w:r>
      <w:r w:rsidR="004834B7" w:rsidRPr="004834B7">
        <w:rPr>
          <w:sz w:val="27"/>
          <w:szCs w:val="27"/>
        </w:rPr>
        <w:t xml:space="preserve"> – «автомобильные мойки (4.9.1.3) – автомобильные мойки; магазины сопутствующей торговли».</w:t>
      </w:r>
    </w:p>
    <w:p w:rsidR="00FE2272" w:rsidRPr="001F09DF" w:rsidRDefault="00645674" w:rsidP="004834B7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06D5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697F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6518"/>
    <w:rsid w:val="00267D81"/>
    <w:rsid w:val="00270B4E"/>
    <w:rsid w:val="0027171B"/>
    <w:rsid w:val="00275D06"/>
    <w:rsid w:val="00286069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943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834B7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3962"/>
    <w:rsid w:val="00654782"/>
    <w:rsid w:val="0065546B"/>
    <w:rsid w:val="006555C6"/>
    <w:rsid w:val="00662F25"/>
    <w:rsid w:val="0068204D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18C1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3E27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35E9"/>
    <w:rsid w:val="00DC05F0"/>
    <w:rsid w:val="00DC3D75"/>
    <w:rsid w:val="00DD247F"/>
    <w:rsid w:val="00DE6383"/>
    <w:rsid w:val="00DE7130"/>
    <w:rsid w:val="00DF7221"/>
    <w:rsid w:val="00E06D5F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93822-ED2D-40E5-A4D2-F69AB8DF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16</TotalTime>
  <Pages>1</Pages>
  <Words>222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15</cp:revision>
  <cp:lastPrinted>2020-02-25T03:17:00Z</cp:lastPrinted>
  <dcterms:created xsi:type="dcterms:W3CDTF">2021-06-15T02:55:00Z</dcterms:created>
  <dcterms:modified xsi:type="dcterms:W3CDTF">2021-09-07T07:23:00Z</dcterms:modified>
</cp:coreProperties>
</file>