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535D0C" w:rsidRDefault="00A25A6C" w:rsidP="00A25A6C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535D0C">
        <w:rPr>
          <w:sz w:val="28"/>
          <w:szCs w:val="28"/>
        </w:rPr>
        <w:t>о</w:t>
      </w:r>
      <w:r w:rsidR="00535D0C" w:rsidRPr="00535D0C">
        <w:rPr>
          <w:sz w:val="28"/>
          <w:szCs w:val="28"/>
        </w:rPr>
        <w:t>бществу с ограниченной ответственностью «</w:t>
      </w:r>
      <w:proofErr w:type="spellStart"/>
      <w:r w:rsidR="00535D0C" w:rsidRPr="00535D0C">
        <w:rPr>
          <w:sz w:val="28"/>
          <w:szCs w:val="28"/>
        </w:rPr>
        <w:t>Автодом</w:t>
      </w:r>
      <w:proofErr w:type="spellEnd"/>
      <w:r w:rsidR="00535D0C" w:rsidRPr="00535D0C">
        <w:rPr>
          <w:sz w:val="28"/>
          <w:szCs w:val="28"/>
        </w:rPr>
        <w:t xml:space="preserve">» </w:t>
      </w:r>
    </w:p>
    <w:p w:rsidR="00A25A6C" w:rsidRPr="0054465D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35D0C" w:rsidRDefault="003D3FC7" w:rsidP="00535D0C">
      <w:pPr>
        <w:ind w:firstLine="709"/>
        <w:jc w:val="both"/>
        <w:rPr>
          <w:sz w:val="28"/>
          <w:szCs w:val="28"/>
        </w:rPr>
      </w:pPr>
      <w:r w:rsidRPr="00535D0C">
        <w:rPr>
          <w:sz w:val="28"/>
          <w:szCs w:val="28"/>
        </w:rPr>
        <w:t>«</w:t>
      </w:r>
      <w:r w:rsidR="00535D0C" w:rsidRPr="00535D0C">
        <w:rPr>
          <w:sz w:val="28"/>
          <w:szCs w:val="28"/>
        </w:rPr>
        <w:t>Обществу с ограниченной ответственностью «</w:t>
      </w:r>
      <w:proofErr w:type="spellStart"/>
      <w:r w:rsidR="00535D0C" w:rsidRPr="00535D0C">
        <w:rPr>
          <w:sz w:val="28"/>
          <w:szCs w:val="28"/>
        </w:rPr>
        <w:t>Автодом</w:t>
      </w:r>
      <w:proofErr w:type="spellEnd"/>
      <w:r w:rsidR="00535D0C" w:rsidRPr="00535D0C">
        <w:rPr>
          <w:sz w:val="28"/>
          <w:szCs w:val="28"/>
        </w:rPr>
        <w:t>» (на основании заявления в связи с тем, что конфигурация земельного участка является неблагоприятной для застройки) в части уменьшения минимального процента застройки с 25 % до 11,5 % в границах земельного участка с кадастровым номером 54:35:061735:2416 площадью 0,1638 га, расположенного по адресу: Российская Федерация, Новосибирская область, город Новосибирск, пер. 2-й Экскаваторный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  <w:r w:rsidRPr="00535D0C">
        <w:rPr>
          <w:spacing w:val="-2"/>
          <w:sz w:val="28"/>
          <w:szCs w:val="28"/>
        </w:rPr>
        <w:t>».</w:t>
      </w:r>
    </w:p>
    <w:p w:rsidR="0076497C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751D20" w:rsidRPr="0054465D" w:rsidRDefault="00751D20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62430E">
        <w:tc>
          <w:tcPr>
            <w:tcW w:w="4494" w:type="dxa"/>
          </w:tcPr>
          <w:p w:rsidR="007F608B" w:rsidRPr="0054465D" w:rsidRDefault="00535D0C" w:rsidP="00535D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61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535D0C" w:rsidRPr="00CA4236" w:rsidRDefault="00535D0C" w:rsidP="00535D0C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535D0C" w:rsidRPr="00CA4236" w:rsidRDefault="00535D0C" w:rsidP="00535D0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(далее – информационная система) в </w:t>
      </w:r>
      <w:r w:rsidRPr="00CA4236">
        <w:rPr>
          <w:spacing w:val="1"/>
          <w:sz w:val="28"/>
          <w:szCs w:val="28"/>
        </w:rPr>
        <w:lastRenderedPageBreak/>
        <w:t>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535D0C" w:rsidRPr="00CA4236" w:rsidRDefault="00535D0C" w:rsidP="00535D0C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535D0C" w:rsidRPr="00CA4236" w:rsidRDefault="00535D0C" w:rsidP="00535D0C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535D0C" w:rsidRPr="00CA4236" w:rsidRDefault="00535D0C" w:rsidP="00535D0C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535D0C" w:rsidRPr="00CA4236" w:rsidRDefault="00535D0C" w:rsidP="00535D0C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535D0C" w:rsidRPr="00CA4236" w:rsidRDefault="00535D0C" w:rsidP="00535D0C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D9650E" w:rsidRPr="0054465D" w:rsidRDefault="00535D0C" w:rsidP="00535D0C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</w:t>
      </w:r>
      <w:r w:rsidRPr="00562F99">
        <w:rPr>
          <w:spacing w:val="1"/>
          <w:sz w:val="28"/>
          <w:szCs w:val="28"/>
        </w:rPr>
        <w:t>- 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88223E" w:rsidRDefault="005B6673" w:rsidP="0088223E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88223E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88223E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88223E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88223E" w:rsidRPr="007478ED">
        <w:rPr>
          <w:b/>
          <w:bCs/>
          <w:sz w:val="28"/>
          <w:szCs w:val="28"/>
        </w:rPr>
        <w:t>Д. В.</w:t>
      </w:r>
      <w:r w:rsidR="0088223E" w:rsidRPr="007478ED">
        <w:rPr>
          <w:bCs/>
          <w:sz w:val="28"/>
          <w:szCs w:val="28"/>
        </w:rPr>
        <w:t xml:space="preserve"> - архитектора </w:t>
      </w:r>
      <w:r w:rsidR="0088223E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88223E" w:rsidRPr="007478ED">
        <w:rPr>
          <w:bCs/>
          <w:sz w:val="28"/>
          <w:szCs w:val="28"/>
        </w:rPr>
        <w:t xml:space="preserve"> «АР</w:t>
      </w:r>
      <w:proofErr w:type="gramStart"/>
      <w:r w:rsidR="0088223E" w:rsidRPr="007478ED">
        <w:rPr>
          <w:bCs/>
          <w:sz w:val="28"/>
          <w:szCs w:val="28"/>
        </w:rPr>
        <w:t>.Т</w:t>
      </w:r>
      <w:proofErr w:type="gramEnd"/>
      <w:r w:rsidR="0088223E" w:rsidRPr="007478ED">
        <w:rPr>
          <w:bCs/>
          <w:sz w:val="28"/>
          <w:szCs w:val="28"/>
        </w:rPr>
        <w:t>ЭГО</w:t>
      </w:r>
      <w:r w:rsidR="0088223E" w:rsidRPr="007478ED">
        <w:rPr>
          <w:spacing w:val="1"/>
          <w:sz w:val="28"/>
          <w:szCs w:val="28"/>
        </w:rPr>
        <w:t>»:</w:t>
      </w:r>
    </w:p>
    <w:p w:rsidR="00E10A41" w:rsidRPr="0088223E" w:rsidRDefault="00E10A41" w:rsidP="0088223E">
      <w:pPr>
        <w:ind w:firstLine="709"/>
        <w:jc w:val="both"/>
        <w:rPr>
          <w:spacing w:val="1"/>
          <w:sz w:val="28"/>
          <w:szCs w:val="28"/>
        </w:rPr>
      </w:pPr>
      <w:r w:rsidRPr="007B7ABE">
        <w:rPr>
          <w:i/>
          <w:spacing w:val="1"/>
          <w:sz w:val="28"/>
          <w:szCs w:val="28"/>
        </w:rPr>
        <w:t>«</w:t>
      </w:r>
      <w:r w:rsidR="007B7ABE" w:rsidRPr="007B7ABE">
        <w:rPr>
          <w:i/>
          <w:spacing w:val="1"/>
          <w:sz w:val="28"/>
          <w:szCs w:val="28"/>
        </w:rPr>
        <w:t>Отказать в предоставлении разрешения</w:t>
      </w:r>
      <w:r w:rsidRPr="007B7ABE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proofErr w:type="gramStart"/>
      <w:r w:rsidRPr="007B7ABE">
        <w:rPr>
          <w:i/>
          <w:spacing w:val="1"/>
          <w:sz w:val="28"/>
          <w:szCs w:val="28"/>
        </w:rPr>
        <w:t>.</w:t>
      </w:r>
      <w:proofErr w:type="gramEnd"/>
      <w:r w:rsidR="007B7ABE" w:rsidRPr="007B7ABE">
        <w:rPr>
          <w:i/>
          <w:spacing w:val="1"/>
          <w:sz w:val="28"/>
          <w:szCs w:val="28"/>
        </w:rPr>
        <w:t xml:space="preserve"> </w:t>
      </w:r>
      <w:proofErr w:type="gramStart"/>
      <w:r w:rsidR="007B7ABE" w:rsidRPr="007B7ABE">
        <w:rPr>
          <w:i/>
          <w:spacing w:val="1"/>
          <w:sz w:val="28"/>
          <w:szCs w:val="28"/>
        </w:rPr>
        <w:t>в</w:t>
      </w:r>
      <w:proofErr w:type="gramEnd"/>
      <w:r w:rsidR="007B7ABE" w:rsidRPr="007B7ABE">
        <w:rPr>
          <w:i/>
          <w:spacing w:val="1"/>
          <w:sz w:val="28"/>
          <w:szCs w:val="28"/>
        </w:rPr>
        <w:t xml:space="preserve"> связи с тем, что отсутствуют обоснования, предусмотренные частью 1 статьи 40 </w:t>
      </w:r>
      <w:r w:rsidR="007B7ABE" w:rsidRPr="007B7ABE">
        <w:rPr>
          <w:i/>
          <w:spacing w:val="1"/>
          <w:sz w:val="28"/>
          <w:szCs w:val="28"/>
        </w:rPr>
        <w:lastRenderedPageBreak/>
        <w:t>Градостроительного кодекса Российской Федерации,</w:t>
      </w:r>
      <w:r w:rsidR="00751D20">
        <w:rPr>
          <w:i/>
          <w:spacing w:val="1"/>
          <w:sz w:val="28"/>
          <w:szCs w:val="28"/>
        </w:rPr>
        <w:t xml:space="preserve"> а именно</w:t>
      </w:r>
      <w:r w:rsidR="007B7ABE" w:rsidRPr="007B7ABE">
        <w:rPr>
          <w:i/>
          <w:spacing w:val="1"/>
          <w:sz w:val="28"/>
          <w:szCs w:val="28"/>
        </w:rPr>
        <w:t xml:space="preserve"> конфигурация земельного участка не является неблагоприятной для застройки, не представлен документ</w:t>
      </w:r>
      <w:r w:rsidR="007B7ABE" w:rsidRPr="0062430E">
        <w:rPr>
          <w:i/>
          <w:spacing w:val="1"/>
          <w:sz w:val="28"/>
          <w:szCs w:val="28"/>
        </w:rPr>
        <w:t>, предусмотренный подпунктом 2.7.4 административного регламента</w:t>
      </w:r>
      <w:r w:rsidR="0062430E" w:rsidRPr="0062430E">
        <w:rPr>
          <w:i/>
          <w:sz w:val="28"/>
          <w:szCs w:val="28"/>
        </w:rPr>
        <w:t>, утвержденного постановлением мэрии города Новосибирска от 30.01.2019 № 320</w:t>
      </w:r>
      <w:r w:rsidR="007B7ABE">
        <w:rPr>
          <w:i/>
          <w:spacing w:val="1"/>
          <w:sz w:val="28"/>
          <w:szCs w:val="28"/>
        </w:rPr>
        <w:t>.».</w:t>
      </w:r>
      <w:r w:rsidR="007B7ABE" w:rsidRPr="007B7ABE">
        <w:rPr>
          <w:i/>
          <w:spacing w:val="1"/>
          <w:sz w:val="28"/>
          <w:szCs w:val="28"/>
        </w:rPr>
        <w:t xml:space="preserve"> </w:t>
      </w: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7B7ABE" w:rsidRPr="007B7ABE" w:rsidRDefault="007B7ABE" w:rsidP="007B7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EF2" w:rsidRPr="007B7ABE">
        <w:rPr>
          <w:sz w:val="28"/>
          <w:szCs w:val="28"/>
        </w:rPr>
        <w:t>3</w:t>
      </w:r>
      <w:r w:rsidR="0098061A" w:rsidRPr="007B7ABE">
        <w:rPr>
          <w:sz w:val="28"/>
          <w:szCs w:val="28"/>
        </w:rPr>
        <w:t>. </w:t>
      </w:r>
      <w:proofErr w:type="gramStart"/>
      <w:r w:rsidR="00535D0C" w:rsidRPr="007B7ABE">
        <w:rPr>
          <w:b/>
          <w:sz w:val="28"/>
          <w:szCs w:val="28"/>
        </w:rPr>
        <w:t>Отказать в п</w:t>
      </w:r>
      <w:r w:rsidR="0098061A" w:rsidRPr="007B7ABE">
        <w:rPr>
          <w:b/>
          <w:sz w:val="28"/>
          <w:szCs w:val="28"/>
        </w:rPr>
        <w:t>редостав</w:t>
      </w:r>
      <w:r w:rsidR="00535D0C" w:rsidRPr="007B7ABE">
        <w:rPr>
          <w:b/>
          <w:sz w:val="28"/>
          <w:szCs w:val="28"/>
        </w:rPr>
        <w:t>лении</w:t>
      </w:r>
      <w:r w:rsidR="0098061A" w:rsidRPr="007B7ABE">
        <w:rPr>
          <w:b/>
          <w:sz w:val="28"/>
          <w:szCs w:val="28"/>
        </w:rPr>
        <w:t xml:space="preserve"> разрешени</w:t>
      </w:r>
      <w:r w:rsidR="00535D0C" w:rsidRPr="007B7ABE">
        <w:rPr>
          <w:b/>
          <w:sz w:val="28"/>
          <w:szCs w:val="28"/>
        </w:rPr>
        <w:t>я</w:t>
      </w:r>
      <w:r w:rsidR="0098061A" w:rsidRPr="007B7ABE">
        <w:rPr>
          <w:b/>
          <w:sz w:val="28"/>
          <w:szCs w:val="28"/>
        </w:rPr>
        <w:t xml:space="preserve"> </w:t>
      </w:r>
      <w:r w:rsidR="003307B4" w:rsidRPr="007B7ABE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B7ABE">
        <w:rPr>
          <w:sz w:val="28"/>
          <w:szCs w:val="28"/>
        </w:rPr>
        <w:t xml:space="preserve"> </w:t>
      </w:r>
      <w:r w:rsidR="00535D0C" w:rsidRPr="007B7ABE">
        <w:rPr>
          <w:sz w:val="28"/>
          <w:szCs w:val="28"/>
        </w:rPr>
        <w:t>обществу с ограниченной ответственностью «</w:t>
      </w:r>
      <w:proofErr w:type="spellStart"/>
      <w:r w:rsidR="00535D0C" w:rsidRPr="007B7ABE">
        <w:rPr>
          <w:sz w:val="28"/>
          <w:szCs w:val="28"/>
        </w:rPr>
        <w:t>Автодом</w:t>
      </w:r>
      <w:proofErr w:type="spellEnd"/>
      <w:r w:rsidR="00535D0C" w:rsidRPr="007B7ABE">
        <w:rPr>
          <w:sz w:val="28"/>
          <w:szCs w:val="28"/>
        </w:rPr>
        <w:t>» (на основании заявления в связи с тем, что конфигурация земельного участка является неблагоприятной для застройки) в части уменьшения минимального процента застройки с 25 % до 11,5 % в границах земельного участка с кадастровым номером 54:35:061735:2416 площадью 0,1638 га, расположенного</w:t>
      </w:r>
      <w:proofErr w:type="gramEnd"/>
      <w:r w:rsidR="00535D0C" w:rsidRPr="007B7ABE">
        <w:rPr>
          <w:sz w:val="28"/>
          <w:szCs w:val="28"/>
        </w:rPr>
        <w:t xml:space="preserve"> по адресу: </w:t>
      </w:r>
      <w:proofErr w:type="gramStart"/>
      <w:r w:rsidR="00535D0C" w:rsidRPr="007B7ABE">
        <w:rPr>
          <w:sz w:val="28"/>
          <w:szCs w:val="28"/>
        </w:rPr>
        <w:t>Российская Федерация, Новосибирская область, город Новосибирск, пер. 2-й Экскаваторный (зона делового, общественного и коммерческого назначения (ОД-1), подзона делового, общественного и коммерческого назначения с объектами различной плот</w:t>
      </w:r>
      <w:r w:rsidRPr="007B7ABE">
        <w:rPr>
          <w:sz w:val="28"/>
          <w:szCs w:val="28"/>
        </w:rPr>
        <w:t xml:space="preserve">ности жилой застройки (ОД-1.1)) в связи с тем, что отсутствуют обоснования, предусмотренные частью 1 статьи 40 Градостроительного кодекса Российской Федерации, </w:t>
      </w:r>
      <w:r w:rsidR="00B64DF9">
        <w:rPr>
          <w:sz w:val="28"/>
          <w:szCs w:val="28"/>
        </w:rPr>
        <w:t xml:space="preserve">а именно </w:t>
      </w:r>
      <w:r w:rsidRPr="007B7ABE">
        <w:rPr>
          <w:sz w:val="28"/>
          <w:szCs w:val="28"/>
        </w:rPr>
        <w:t>конфигурация земельного участка не является неблагоприятной для застройки,</w:t>
      </w:r>
      <w:r>
        <w:rPr>
          <w:sz w:val="28"/>
          <w:szCs w:val="28"/>
        </w:rPr>
        <w:t xml:space="preserve"> </w:t>
      </w:r>
      <w:r w:rsidRPr="007B7ABE">
        <w:rPr>
          <w:sz w:val="28"/>
          <w:szCs w:val="28"/>
        </w:rPr>
        <w:t>не представлен документ, предусмотренный</w:t>
      </w:r>
      <w:proofErr w:type="gramEnd"/>
      <w:r w:rsidRPr="007B7ABE">
        <w:rPr>
          <w:sz w:val="28"/>
          <w:szCs w:val="28"/>
        </w:rPr>
        <w:t xml:space="preserve"> подпунктом 2.7.4 административного регламента</w:t>
      </w:r>
      <w:r w:rsidR="0062430E">
        <w:rPr>
          <w:sz w:val="28"/>
          <w:szCs w:val="28"/>
        </w:rPr>
        <w:t xml:space="preserve"> </w:t>
      </w:r>
      <w:r w:rsidR="0062430E" w:rsidRPr="00984019">
        <w:rPr>
          <w:sz w:val="28"/>
          <w:szCs w:val="28"/>
        </w:rPr>
        <w:t>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2430E">
        <w:rPr>
          <w:sz w:val="28"/>
          <w:szCs w:val="28"/>
        </w:rPr>
        <w:t>, утвержденного постановлением мэрии города Новосибирска от 30.01.2019 № 320</w:t>
      </w:r>
      <w:r>
        <w:rPr>
          <w:sz w:val="28"/>
          <w:szCs w:val="28"/>
        </w:rPr>
        <w:t>.</w:t>
      </w: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F83229">
      <w:headerReference w:type="default" r:id="rId9"/>
      <w:pgSz w:w="11906" w:h="16838"/>
      <w:pgMar w:top="709" w:right="566" w:bottom="426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73" w:rsidRDefault="005B6673" w:rsidP="00330C25">
      <w:r>
        <w:separator/>
      </w:r>
    </w:p>
  </w:endnote>
  <w:endnote w:type="continuationSeparator" w:id="0">
    <w:p w:rsidR="005B6673" w:rsidRDefault="005B667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73" w:rsidRDefault="005B6673" w:rsidP="00330C25">
      <w:r>
        <w:separator/>
      </w:r>
    </w:p>
  </w:footnote>
  <w:footnote w:type="continuationSeparator" w:id="0">
    <w:p w:rsidR="005B6673" w:rsidRDefault="005B667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5B6673" w:rsidRPr="00E61942" w:rsidRDefault="005A3B35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5B6673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F83229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5B6673" w:rsidRDefault="005B66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56BB2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6298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5B2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2F7DAA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C4FE8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35D0C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62F99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A3B35"/>
    <w:rsid w:val="005B0AC7"/>
    <w:rsid w:val="005B4ADA"/>
    <w:rsid w:val="005B56C1"/>
    <w:rsid w:val="005B6673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430E"/>
    <w:rsid w:val="006249D7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B577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1D2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4F1"/>
    <w:rsid w:val="007B55EF"/>
    <w:rsid w:val="007B6206"/>
    <w:rsid w:val="007B781E"/>
    <w:rsid w:val="007B7AB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223E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4B3C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64DF9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83229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DF499-738F-4064-9790-28B1BD37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14</cp:revision>
  <cp:lastPrinted>2019-03-13T01:59:00Z</cp:lastPrinted>
  <dcterms:created xsi:type="dcterms:W3CDTF">2019-04-12T07:38:00Z</dcterms:created>
  <dcterms:modified xsi:type="dcterms:W3CDTF">2019-05-15T11:34:00Z</dcterms:modified>
</cp:coreProperties>
</file>