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7C4739">
        <w:rPr>
          <w:sz w:val="28"/>
          <w:szCs w:val="28"/>
        </w:rPr>
        <w:t xml:space="preserve">строительства </w:t>
      </w:r>
      <w:r w:rsidR="007C4739" w:rsidRPr="007C4739">
        <w:rPr>
          <w:sz w:val="28"/>
          <w:szCs w:val="28"/>
        </w:rPr>
        <w:t>Ткаченко А. С.</w:t>
      </w:r>
      <w:r w:rsidR="007C4739" w:rsidRPr="00416750">
        <w:t xml:space="preserve"> </w:t>
      </w:r>
      <w:r w:rsidR="007F608B" w:rsidRPr="0054465D">
        <w:rPr>
          <w:spacing w:val="-3"/>
          <w:sz w:val="28"/>
          <w:szCs w:val="28"/>
        </w:rPr>
        <w:t>(далее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7C4739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7C4739">
      <w:pPr>
        <w:pStyle w:val="a7"/>
        <w:ind w:firstLine="709"/>
        <w:rPr>
          <w:color w:val="auto"/>
        </w:rPr>
      </w:pPr>
      <w:proofErr w:type="gramStart"/>
      <w:r w:rsidRPr="0054465D">
        <w:rPr>
          <w:color w:val="auto"/>
        </w:rPr>
        <w:t>«</w:t>
      </w:r>
      <w:r w:rsidR="007C4739" w:rsidRPr="00416750">
        <w:rPr>
          <w:color w:val="auto"/>
        </w:rPr>
        <w:t>Ткаченко А. С. (на основании заявления в связи с тем, что конфигурация земельного участка, наличие инженерных сетей, железнодорожного тупика и красных линий являются неблагоприятными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54:35:061490:1504 площадью 1,5758 га, расположенного по адресу:</w:t>
      </w:r>
      <w:proofErr w:type="gramEnd"/>
      <w:r w:rsidR="007C4739" w:rsidRPr="00416750">
        <w:rPr>
          <w:color w:val="auto"/>
        </w:rPr>
        <w:t xml:space="preserve"> Российская Федерация, Новосибирская область, город Новосибирск, ул. Станционная (зона производственной деятельности (П-1)), с 3 м до 1 м с южной стороны со стороны земельного участка с кадастровым номером 54:35:061490:310 в габаритах объекта капитального строительства</w:t>
      </w:r>
      <w:proofErr w:type="gramStart"/>
      <w:r w:rsidR="007C4739" w:rsidRPr="00416750">
        <w:rPr>
          <w:color w:val="auto"/>
        </w:rPr>
        <w:t>.</w:t>
      </w:r>
      <w:r w:rsidRPr="0054465D">
        <w:rPr>
          <w:spacing w:val="-2"/>
        </w:rPr>
        <w:t>».</w:t>
      </w:r>
      <w:proofErr w:type="gramEnd"/>
    </w:p>
    <w:p w:rsidR="0076497C" w:rsidRPr="0054465D" w:rsidRDefault="0076497C" w:rsidP="007C4739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7C4739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7C4739" w:rsidP="007C473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="009507DC" w:rsidRPr="0054465D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5</w:t>
            </w:r>
            <w:r w:rsidR="00945F1E" w:rsidRPr="0054465D">
              <w:rPr>
                <w:b/>
                <w:sz w:val="28"/>
                <w:szCs w:val="28"/>
              </w:rPr>
              <w:t>.201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7C4739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7C4739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7C4739" w:rsidRPr="00CA4236" w:rsidRDefault="007C4739" w:rsidP="007C4739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7C4739" w:rsidRPr="00CA4236" w:rsidRDefault="007C4739" w:rsidP="007C4739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</w:t>
      </w:r>
      <w:r w:rsidRPr="00CA4236">
        <w:rPr>
          <w:spacing w:val="1"/>
          <w:sz w:val="28"/>
          <w:szCs w:val="28"/>
        </w:rPr>
        <w:lastRenderedPageBreak/>
        <w:t>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имели право вносить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7C4739" w:rsidRPr="00CA4236" w:rsidRDefault="007C4739" w:rsidP="007C4739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7C4739" w:rsidRPr="00CA4236" w:rsidRDefault="007C4739" w:rsidP="007C4739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7C4739" w:rsidRPr="00CA4236" w:rsidRDefault="007C4739" w:rsidP="007C4739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C4739" w:rsidRPr="00CA4236" w:rsidRDefault="007C4739" w:rsidP="007C4739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принявших участие в рассмотрении проекта посредством информационной системы – </w:t>
      </w:r>
      <w:r w:rsidR="00AF192B">
        <w:rPr>
          <w:spacing w:val="1"/>
          <w:sz w:val="28"/>
          <w:szCs w:val="28"/>
        </w:rPr>
        <w:t>1</w:t>
      </w:r>
      <w:r w:rsidRPr="00CA4236">
        <w:rPr>
          <w:spacing w:val="1"/>
          <w:sz w:val="28"/>
          <w:szCs w:val="28"/>
        </w:rPr>
        <w:t>.</w:t>
      </w:r>
    </w:p>
    <w:p w:rsidR="007C4739" w:rsidRPr="00CA4236" w:rsidRDefault="007C4739" w:rsidP="007C4739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посетивших экспозиции проекта – </w:t>
      </w:r>
      <w:r w:rsidR="00CC39CD">
        <w:rPr>
          <w:spacing w:val="1"/>
          <w:sz w:val="28"/>
          <w:szCs w:val="28"/>
        </w:rPr>
        <w:t>1</w:t>
      </w:r>
      <w:r w:rsidRPr="00CA4236">
        <w:rPr>
          <w:spacing w:val="1"/>
          <w:sz w:val="28"/>
          <w:szCs w:val="28"/>
        </w:rPr>
        <w:t>.</w:t>
      </w:r>
    </w:p>
    <w:p w:rsidR="007C4739" w:rsidRPr="00CA4236" w:rsidRDefault="007C4739" w:rsidP="007C4739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E10A41" w:rsidRPr="0054465D" w:rsidRDefault="00E10A41" w:rsidP="007C4739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7C4739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CC39CD" w:rsidRDefault="003D3FC7" w:rsidP="007C4739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CC39CD">
        <w:rPr>
          <w:spacing w:val="1"/>
          <w:sz w:val="28"/>
          <w:szCs w:val="28"/>
        </w:rPr>
        <w:t>:</w:t>
      </w:r>
      <w:proofErr w:type="gramEnd"/>
    </w:p>
    <w:p w:rsidR="005A6ABD" w:rsidRDefault="00CC39CD" w:rsidP="007C4739">
      <w:pPr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</w:t>
      </w:r>
      <w:r w:rsidR="00E10A41" w:rsidRPr="0054465D">
        <w:rPr>
          <w:sz w:val="28"/>
          <w:szCs w:val="28"/>
        </w:rPr>
        <w:t>.</w:t>
      </w:r>
      <w:r>
        <w:rPr>
          <w:sz w:val="28"/>
          <w:szCs w:val="28"/>
        </w:rPr>
        <w:t xml:space="preserve">2. </w:t>
      </w:r>
      <w:r w:rsidRPr="00CC39CD">
        <w:rPr>
          <w:b/>
          <w:sz w:val="28"/>
          <w:szCs w:val="28"/>
        </w:rPr>
        <w:t xml:space="preserve">От </w:t>
      </w:r>
      <w:proofErr w:type="spellStart"/>
      <w:r w:rsidRPr="00CC39CD">
        <w:rPr>
          <w:b/>
          <w:sz w:val="28"/>
          <w:szCs w:val="28"/>
        </w:rPr>
        <w:t>Временюк</w:t>
      </w:r>
      <w:proofErr w:type="spellEnd"/>
      <w:r w:rsidRPr="00CC39CD">
        <w:rPr>
          <w:b/>
          <w:sz w:val="28"/>
          <w:szCs w:val="28"/>
        </w:rPr>
        <w:t xml:space="preserve"> В. В.,</w:t>
      </w:r>
      <w:r w:rsidRPr="00CC39CD">
        <w:rPr>
          <w:color w:val="000000"/>
        </w:rPr>
        <w:t xml:space="preserve"> </w:t>
      </w:r>
      <w:r>
        <w:rPr>
          <w:sz w:val="28"/>
          <w:szCs w:val="28"/>
        </w:rPr>
        <w:t>действующая по доверенности за</w:t>
      </w:r>
      <w:r w:rsidRPr="00CC39CD">
        <w:rPr>
          <w:sz w:val="28"/>
          <w:szCs w:val="28"/>
        </w:rPr>
        <w:t xml:space="preserve"> ОАО «Новосибирское производственное объединение </w:t>
      </w:r>
      <w:proofErr w:type="spellStart"/>
      <w:r w:rsidRPr="00CC39CD">
        <w:rPr>
          <w:sz w:val="28"/>
          <w:szCs w:val="28"/>
        </w:rPr>
        <w:t>Сибсельмаш</w:t>
      </w:r>
      <w:proofErr w:type="spellEnd"/>
      <w:r w:rsidRPr="00CC39C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160A84">
        <w:rPr>
          <w:sz w:val="28"/>
          <w:szCs w:val="28"/>
        </w:rPr>
        <w:t>поступило в</w:t>
      </w:r>
      <w:r>
        <w:rPr>
          <w:sz w:val="28"/>
          <w:szCs w:val="28"/>
        </w:rPr>
        <w:t xml:space="preserve"> комиссию в</w:t>
      </w:r>
      <w:r w:rsidRPr="00160A84">
        <w:rPr>
          <w:sz w:val="28"/>
          <w:szCs w:val="28"/>
        </w:rPr>
        <w:t xml:space="preserve"> письменном виде -</w:t>
      </w:r>
      <w:r>
        <w:rPr>
          <w:sz w:val="28"/>
          <w:szCs w:val="28"/>
        </w:rPr>
        <w:t xml:space="preserve"> иллюстрация 1</w:t>
      </w:r>
      <w:r w:rsidR="005A6ABD">
        <w:rPr>
          <w:sz w:val="28"/>
          <w:szCs w:val="28"/>
        </w:rPr>
        <w:t>, 2</w:t>
      </w:r>
      <w:r>
        <w:rPr>
          <w:sz w:val="28"/>
          <w:szCs w:val="28"/>
        </w:rPr>
        <w:t>:</w:t>
      </w:r>
    </w:p>
    <w:p w:rsidR="005A6ABD" w:rsidRDefault="005A6ABD" w:rsidP="007C4739">
      <w:pPr>
        <w:ind w:firstLine="709"/>
        <w:jc w:val="both"/>
        <w:rPr>
          <w:sz w:val="28"/>
          <w:szCs w:val="28"/>
        </w:rPr>
      </w:pPr>
    </w:p>
    <w:p w:rsidR="005A6ABD" w:rsidRDefault="005A6ABD" w:rsidP="005A6A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9097" cy="1063612"/>
            <wp:effectExtent l="19050" t="0" r="15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1" t="24878" r="34919" b="5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97" cy="10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BD" w:rsidRPr="0054465D" w:rsidRDefault="005A6ABD" w:rsidP="005A6AB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иллюстрация 1</w:t>
      </w:r>
    </w:p>
    <w:p w:rsidR="001F0C10" w:rsidRDefault="00CC39CD" w:rsidP="001A1C33">
      <w:pPr>
        <w:jc w:val="both"/>
        <w:rPr>
          <w:spacing w:val="1"/>
          <w:sz w:val="28"/>
          <w:szCs w:val="28"/>
        </w:rPr>
      </w:pPr>
      <w:r w:rsidRPr="00CC39CD"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833110" cy="698178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11" t="15854" r="49219" b="1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05" cy="70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33" w:rsidRDefault="005A6ABD" w:rsidP="005A6AB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A6ABD" w:rsidRPr="005A6ABD" w:rsidRDefault="005A6ABD" w:rsidP="001A1C33">
      <w:pPr>
        <w:jc w:val="center"/>
        <w:rPr>
          <w:sz w:val="28"/>
          <w:szCs w:val="28"/>
        </w:rPr>
      </w:pPr>
      <w:r>
        <w:rPr>
          <w:sz w:val="28"/>
          <w:szCs w:val="28"/>
        </w:rPr>
        <w:t>иллюстрация 2.</w:t>
      </w:r>
    </w:p>
    <w:p w:rsidR="005A6ABD" w:rsidRDefault="005A6ABD" w:rsidP="007C4739">
      <w:pPr>
        <w:ind w:firstLine="709"/>
        <w:jc w:val="both"/>
        <w:rPr>
          <w:b/>
          <w:spacing w:val="1"/>
          <w:sz w:val="28"/>
          <w:szCs w:val="28"/>
        </w:rPr>
      </w:pPr>
    </w:p>
    <w:p w:rsidR="003D3FC7" w:rsidRPr="0054465D" w:rsidRDefault="003D3FC7" w:rsidP="007C4739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</w:t>
      </w:r>
      <w:r w:rsidRPr="007441B1">
        <w:rPr>
          <w:spacing w:val="1"/>
          <w:sz w:val="28"/>
          <w:szCs w:val="28"/>
        </w:rPr>
        <w:t>- не поступали.</w:t>
      </w:r>
    </w:p>
    <w:p w:rsidR="00345B0F" w:rsidRPr="0054465D" w:rsidRDefault="00345B0F" w:rsidP="007C4739">
      <w:pPr>
        <w:ind w:firstLine="709"/>
        <w:jc w:val="both"/>
        <w:rPr>
          <w:sz w:val="28"/>
          <w:szCs w:val="28"/>
          <w:highlight w:val="yellow"/>
        </w:rPr>
      </w:pPr>
    </w:p>
    <w:p w:rsidR="004624E3" w:rsidRPr="0054465D" w:rsidRDefault="00345B0F" w:rsidP="007C4739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7441B1" w:rsidRDefault="004B3CAB" w:rsidP="007441B1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7441B1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7441B1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7441B1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7441B1" w:rsidRPr="007478ED">
        <w:rPr>
          <w:b/>
          <w:bCs/>
          <w:sz w:val="28"/>
          <w:szCs w:val="28"/>
        </w:rPr>
        <w:t>Д. В.</w:t>
      </w:r>
      <w:r w:rsidR="007441B1" w:rsidRPr="007478ED">
        <w:rPr>
          <w:bCs/>
          <w:sz w:val="28"/>
          <w:szCs w:val="28"/>
        </w:rPr>
        <w:t xml:space="preserve"> - архитектора </w:t>
      </w:r>
      <w:r w:rsidR="007441B1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7441B1" w:rsidRPr="007478ED">
        <w:rPr>
          <w:bCs/>
          <w:sz w:val="28"/>
          <w:szCs w:val="28"/>
        </w:rPr>
        <w:t xml:space="preserve"> «АР</w:t>
      </w:r>
      <w:proofErr w:type="gramStart"/>
      <w:r w:rsidR="007441B1" w:rsidRPr="007478ED">
        <w:rPr>
          <w:bCs/>
          <w:sz w:val="28"/>
          <w:szCs w:val="28"/>
        </w:rPr>
        <w:t>.Т</w:t>
      </w:r>
      <w:proofErr w:type="gramEnd"/>
      <w:r w:rsidR="007441B1" w:rsidRPr="007478ED">
        <w:rPr>
          <w:bCs/>
          <w:sz w:val="28"/>
          <w:szCs w:val="28"/>
        </w:rPr>
        <w:t>ЭГО</w:t>
      </w:r>
      <w:r w:rsidR="007441B1" w:rsidRPr="007478ED">
        <w:rPr>
          <w:spacing w:val="1"/>
          <w:sz w:val="28"/>
          <w:szCs w:val="28"/>
        </w:rPr>
        <w:t>»:</w:t>
      </w:r>
    </w:p>
    <w:p w:rsidR="00E10A41" w:rsidRPr="007441B1" w:rsidRDefault="00E10A41" w:rsidP="007441B1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AF192B">
        <w:rPr>
          <w:i/>
          <w:spacing w:val="1"/>
          <w:sz w:val="28"/>
          <w:szCs w:val="28"/>
        </w:rPr>
        <w:t>«</w:t>
      </w:r>
      <w:r w:rsidR="00AF192B" w:rsidRPr="00AF192B">
        <w:rPr>
          <w:i/>
          <w:spacing w:val="1"/>
          <w:sz w:val="28"/>
          <w:szCs w:val="28"/>
        </w:rPr>
        <w:t xml:space="preserve">Отказать в предоставлении </w:t>
      </w:r>
      <w:r w:rsidRPr="00AF192B">
        <w:rPr>
          <w:i/>
          <w:spacing w:val="1"/>
          <w:sz w:val="28"/>
          <w:szCs w:val="28"/>
        </w:rPr>
        <w:t>разрешени</w:t>
      </w:r>
      <w:r w:rsidR="00AF192B" w:rsidRPr="00AF192B">
        <w:rPr>
          <w:i/>
          <w:spacing w:val="1"/>
          <w:sz w:val="28"/>
          <w:szCs w:val="28"/>
        </w:rPr>
        <w:t>я</w:t>
      </w:r>
      <w:r w:rsidRPr="00AF192B">
        <w:rPr>
          <w:i/>
          <w:spacing w:val="1"/>
          <w:sz w:val="28"/>
          <w:szCs w:val="28"/>
        </w:rPr>
        <w:t xml:space="preserve"> на отклонение от предельных параметров разрешенн</w:t>
      </w:r>
      <w:r w:rsidR="00AF192B">
        <w:rPr>
          <w:i/>
          <w:spacing w:val="1"/>
          <w:sz w:val="28"/>
          <w:szCs w:val="28"/>
        </w:rPr>
        <w:t>ого строительства, реконструкции</w:t>
      </w:r>
      <w:r w:rsidR="00AF192B" w:rsidRPr="00AF192B">
        <w:rPr>
          <w:i/>
          <w:spacing w:val="1"/>
          <w:sz w:val="28"/>
          <w:szCs w:val="28"/>
        </w:rPr>
        <w:t xml:space="preserve"> на основании </w:t>
      </w:r>
      <w:r w:rsidR="00AF192B" w:rsidRPr="00AF192B">
        <w:rPr>
          <w:i/>
          <w:spacing w:val="1"/>
          <w:sz w:val="28"/>
          <w:szCs w:val="28"/>
        </w:rPr>
        <w:lastRenderedPageBreak/>
        <w:t>части 6.1 статьи 40 Градостроительного кодекса Российской Федерации, в связи с тем, что отсутствуют обоснования, предусмотренные частью 1 статьи 40 Градостроительного кодекса Российской Федерации, конфигурация земельного участка,</w:t>
      </w:r>
      <w:r w:rsidR="004F1EEA">
        <w:rPr>
          <w:i/>
          <w:spacing w:val="1"/>
          <w:sz w:val="28"/>
          <w:szCs w:val="28"/>
        </w:rPr>
        <w:t xml:space="preserve"> а именно </w:t>
      </w:r>
      <w:r w:rsidR="00AF192B" w:rsidRPr="00AF192B">
        <w:rPr>
          <w:i/>
          <w:spacing w:val="1"/>
          <w:sz w:val="28"/>
          <w:szCs w:val="28"/>
        </w:rPr>
        <w:t>наличие инженерных сетей, железнодорожного тупика и красных линий не являются неблагоприятными для застройки, а также в связи</w:t>
      </w:r>
      <w:proofErr w:type="gramEnd"/>
      <w:r w:rsidR="00AF192B" w:rsidRPr="00AF192B">
        <w:rPr>
          <w:i/>
          <w:spacing w:val="1"/>
          <w:sz w:val="28"/>
          <w:szCs w:val="28"/>
        </w:rPr>
        <w:t xml:space="preserve"> с несоответствием приложению 14 «Карта-схема планируемых границ функциональных зон города Новосибирска на период до 2030 года» к Генеральному плану города Новосибирска и проекту планировки территории промышленной зоны Ленинского района, утвержденному постановлением мэрии города Новосибирска от 22.04.2019 </w:t>
      </w:r>
      <w:r w:rsidR="00123B81">
        <w:rPr>
          <w:i/>
          <w:spacing w:val="1"/>
          <w:sz w:val="28"/>
          <w:szCs w:val="28"/>
        </w:rPr>
        <w:br/>
      </w:r>
      <w:r w:rsidR="00AF192B" w:rsidRPr="00AF192B">
        <w:rPr>
          <w:i/>
          <w:spacing w:val="1"/>
          <w:sz w:val="28"/>
          <w:szCs w:val="28"/>
        </w:rPr>
        <w:t>№ 1437</w:t>
      </w:r>
      <w:r w:rsidRPr="00AF192B">
        <w:rPr>
          <w:i/>
          <w:spacing w:val="1"/>
          <w:sz w:val="28"/>
          <w:szCs w:val="28"/>
        </w:rPr>
        <w:t>.</w:t>
      </w:r>
      <w:r w:rsidR="000B3EF2" w:rsidRPr="00AF192B">
        <w:rPr>
          <w:i/>
          <w:spacing w:val="1"/>
          <w:sz w:val="28"/>
          <w:szCs w:val="28"/>
        </w:rPr>
        <w:t>».</w:t>
      </w:r>
    </w:p>
    <w:p w:rsidR="00E10A41" w:rsidRPr="0054465D" w:rsidRDefault="00E10A41" w:rsidP="00AF192B">
      <w:pPr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7C4739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7C4739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Default="0004181D" w:rsidP="007C4739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5A6ABD" w:rsidRPr="008E1C9C" w:rsidRDefault="005A6ABD" w:rsidP="005A6ABD">
      <w:pPr>
        <w:suppressAutoHyphens/>
        <w:ind w:firstLine="709"/>
        <w:jc w:val="both"/>
        <w:rPr>
          <w:sz w:val="28"/>
          <w:szCs w:val="28"/>
        </w:rPr>
      </w:pPr>
      <w:r w:rsidRPr="008E1C9C">
        <w:rPr>
          <w:sz w:val="28"/>
          <w:szCs w:val="28"/>
        </w:rPr>
        <w:t>3. Учет внесенных предложений целесообразен,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0D56BC" w:rsidRPr="00AF192B" w:rsidRDefault="005A6ABD" w:rsidP="00AF19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="0098061A" w:rsidRPr="00AF192B">
        <w:rPr>
          <w:sz w:val="28"/>
          <w:szCs w:val="28"/>
        </w:rPr>
        <w:t>. </w:t>
      </w:r>
      <w:proofErr w:type="gramStart"/>
      <w:r w:rsidR="00AF192B" w:rsidRPr="00AF192B">
        <w:rPr>
          <w:b/>
          <w:sz w:val="28"/>
          <w:szCs w:val="28"/>
        </w:rPr>
        <w:t>Отказать в предоставлении разрешения</w:t>
      </w:r>
      <w:r w:rsidR="00AF192B" w:rsidRPr="00AF192B">
        <w:rPr>
          <w:sz w:val="28"/>
          <w:szCs w:val="28"/>
        </w:rPr>
        <w:t xml:space="preserve"> </w:t>
      </w:r>
      <w:r w:rsidR="003307B4" w:rsidRPr="00AF192B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AF192B">
        <w:rPr>
          <w:sz w:val="28"/>
          <w:szCs w:val="28"/>
        </w:rPr>
        <w:t xml:space="preserve"> </w:t>
      </w:r>
      <w:r w:rsidR="007C4739" w:rsidRPr="00AF192B">
        <w:rPr>
          <w:sz w:val="28"/>
          <w:szCs w:val="28"/>
        </w:rPr>
        <w:t>Ткаченко А. С. (на основании заявления в связи с тем, что конфигурация земельного участка, наличие инженерных сетей, железнодорожного тупика и красных линий являются неблагоприятными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</w:t>
      </w:r>
      <w:proofErr w:type="gramEnd"/>
      <w:r w:rsidR="007C4739" w:rsidRPr="00AF192B">
        <w:rPr>
          <w:sz w:val="28"/>
          <w:szCs w:val="28"/>
        </w:rPr>
        <w:t xml:space="preserve"> номером 54:35:061490:1504 площадью 1,5758 га, расположенного по адресу: </w:t>
      </w:r>
      <w:proofErr w:type="gramStart"/>
      <w:r w:rsidR="007C4739" w:rsidRPr="00AF192B">
        <w:rPr>
          <w:sz w:val="28"/>
          <w:szCs w:val="28"/>
        </w:rPr>
        <w:t xml:space="preserve">Российская Федерация, Новосибирская область, город Новосибирск, ул. Станционная (зона производственной деятельности </w:t>
      </w:r>
      <w:r w:rsidR="007C4739" w:rsidRPr="00AF192B">
        <w:rPr>
          <w:sz w:val="28"/>
          <w:szCs w:val="28"/>
        </w:rPr>
        <w:br/>
        <w:t>(П-1)), с 3 м до 1 м с южной стороны со стороны земельного участка с кадастровым номером 54:35:061490:310 в габаритах объекта капитального строительства</w:t>
      </w:r>
      <w:r w:rsidR="00AF192B" w:rsidRPr="00AF192B">
        <w:rPr>
          <w:sz w:val="28"/>
          <w:szCs w:val="28"/>
        </w:rPr>
        <w:t xml:space="preserve"> на основании части 6.1 статьи 40 Градостроительного кодекса Российской Федерации, в связи с тем, что отсутствуют обоснования, предусмотренные частью 1 статьи 40 Градостроительного</w:t>
      </w:r>
      <w:proofErr w:type="gramEnd"/>
      <w:r w:rsidR="00AF192B" w:rsidRPr="00AF192B">
        <w:rPr>
          <w:sz w:val="28"/>
          <w:szCs w:val="28"/>
        </w:rPr>
        <w:t xml:space="preserve"> </w:t>
      </w:r>
      <w:proofErr w:type="gramStart"/>
      <w:r w:rsidR="00AF192B" w:rsidRPr="00AF192B">
        <w:rPr>
          <w:sz w:val="28"/>
          <w:szCs w:val="28"/>
        </w:rPr>
        <w:t>кодекса Российской Федерации, конфигурация земельного участка,</w:t>
      </w:r>
      <w:r w:rsidR="004F1EEA">
        <w:rPr>
          <w:sz w:val="28"/>
          <w:szCs w:val="28"/>
        </w:rPr>
        <w:t xml:space="preserve"> а именно </w:t>
      </w:r>
      <w:r w:rsidR="00AF192B" w:rsidRPr="00AF192B">
        <w:rPr>
          <w:sz w:val="28"/>
          <w:szCs w:val="28"/>
        </w:rPr>
        <w:t>наличие инженерных сетей, железнодорожного тупика и красных линий не являются неблагоприятными для застройки,</w:t>
      </w:r>
      <w:r w:rsidR="00AF192B" w:rsidRPr="00AF192B">
        <w:rPr>
          <w:sz w:val="28"/>
        </w:rPr>
        <w:t xml:space="preserve"> а также в связи с несоответствием приложению 14 «Карта-схема планируемых границ функциональных зон города Новосибирска на период до 2030 года» к Генеральному плану города Новосибирска и проекту планировки территории промышленной зоны Ленинского района, утвержденному постановлением мэрии города Новосибирска от</w:t>
      </w:r>
      <w:proofErr w:type="gramEnd"/>
      <w:r w:rsidR="00AF192B" w:rsidRPr="00AF192B">
        <w:rPr>
          <w:sz w:val="28"/>
        </w:rPr>
        <w:t xml:space="preserve"> 22.04.2019 № 1437</w:t>
      </w:r>
      <w:r w:rsidR="00AF192B">
        <w:rPr>
          <w:sz w:val="28"/>
        </w:rPr>
        <w:t>.</w:t>
      </w:r>
    </w:p>
    <w:p w:rsidR="00447E19" w:rsidRPr="00AF192B" w:rsidRDefault="00447E19" w:rsidP="00AF192B">
      <w:pPr>
        <w:spacing w:line="240" w:lineRule="atLeast"/>
        <w:ind w:firstLine="720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5A6ABD">
      <w:headerReference w:type="default" r:id="rId11"/>
      <w:pgSz w:w="11906" w:h="16838"/>
      <w:pgMar w:top="709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9CD" w:rsidRDefault="00CC39CD" w:rsidP="00330C25">
      <w:r>
        <w:separator/>
      </w:r>
    </w:p>
  </w:endnote>
  <w:endnote w:type="continuationSeparator" w:id="0">
    <w:p w:rsidR="00CC39CD" w:rsidRDefault="00CC39CD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9CD" w:rsidRDefault="00CC39CD" w:rsidP="00330C25">
      <w:r>
        <w:separator/>
      </w:r>
    </w:p>
  </w:footnote>
  <w:footnote w:type="continuationSeparator" w:id="0">
    <w:p w:rsidR="00CC39CD" w:rsidRDefault="00CC39CD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CC39CD" w:rsidRPr="00E61942" w:rsidRDefault="005C4BF8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CC39CD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6115F5">
          <w:rPr>
            <w:noProof/>
            <w:sz w:val="22"/>
            <w:szCs w:val="22"/>
          </w:rPr>
          <w:t>2</w:t>
        </w:r>
        <w:r w:rsidRPr="00E61942">
          <w:rPr>
            <w:sz w:val="22"/>
            <w:szCs w:val="22"/>
          </w:rPr>
          <w:fldChar w:fldCharType="end"/>
        </w:r>
      </w:p>
    </w:sdtContent>
  </w:sdt>
  <w:p w:rsidR="00CC39CD" w:rsidRDefault="00CC39C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77586"/>
    <w:rsid w:val="000835C8"/>
    <w:rsid w:val="00087407"/>
    <w:rsid w:val="00090839"/>
    <w:rsid w:val="000938F3"/>
    <w:rsid w:val="00093E91"/>
    <w:rsid w:val="000A005E"/>
    <w:rsid w:val="000A08E0"/>
    <w:rsid w:val="000A1788"/>
    <w:rsid w:val="000A41A5"/>
    <w:rsid w:val="000A6EA2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23B81"/>
    <w:rsid w:val="00126080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C33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3FF2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8135C"/>
    <w:rsid w:val="004929DE"/>
    <w:rsid w:val="00495FEB"/>
    <w:rsid w:val="004A1CA2"/>
    <w:rsid w:val="004A22AB"/>
    <w:rsid w:val="004A51A8"/>
    <w:rsid w:val="004A54FF"/>
    <w:rsid w:val="004A7E13"/>
    <w:rsid w:val="004B3CAB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1EEA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A6ABD"/>
    <w:rsid w:val="005B4ADA"/>
    <w:rsid w:val="005B56C1"/>
    <w:rsid w:val="005C38FF"/>
    <w:rsid w:val="005C42B7"/>
    <w:rsid w:val="005C4BF8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115F5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5356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41B1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C4739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189D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192B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55E9"/>
    <w:rsid w:val="00B366F4"/>
    <w:rsid w:val="00B37C58"/>
    <w:rsid w:val="00B41016"/>
    <w:rsid w:val="00B43C70"/>
    <w:rsid w:val="00B44F5D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0467"/>
    <w:rsid w:val="00BD7BA5"/>
    <w:rsid w:val="00BE070C"/>
    <w:rsid w:val="00BE265C"/>
    <w:rsid w:val="00BF1C80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001E"/>
    <w:rsid w:val="00CB2467"/>
    <w:rsid w:val="00CB2D79"/>
    <w:rsid w:val="00CB3FCD"/>
    <w:rsid w:val="00CB69E5"/>
    <w:rsid w:val="00CC06EB"/>
    <w:rsid w:val="00CC20E1"/>
    <w:rsid w:val="00CC22A2"/>
    <w:rsid w:val="00CC35DB"/>
    <w:rsid w:val="00CC39CD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4052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55B7"/>
    <w:rsid w:val="00DD77D7"/>
    <w:rsid w:val="00DE5D23"/>
    <w:rsid w:val="00DF2B26"/>
    <w:rsid w:val="00DF37BB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5017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andard">
    <w:name w:val="Standard"/>
    <w:rsid w:val="00AF192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9A03F-2F4B-4A2B-A548-E4372B8D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1356</Words>
  <Characters>7732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16</cp:revision>
  <cp:lastPrinted>2019-03-13T01:59:00Z</cp:lastPrinted>
  <dcterms:created xsi:type="dcterms:W3CDTF">2019-04-12T07:38:00Z</dcterms:created>
  <dcterms:modified xsi:type="dcterms:W3CDTF">2019-05-15T11:30:00Z</dcterms:modified>
</cp:coreProperties>
</file>