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8C30C4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1F34A4" w:rsidRPr="008C30C4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1F34A4" w:rsidRPr="008C30C4">
        <w:rPr>
          <w:spacing w:val="1"/>
          <w:sz w:val="27"/>
          <w:szCs w:val="27"/>
        </w:rPr>
        <w:t>а</w:t>
      </w:r>
      <w:r w:rsidR="00A00A4F">
        <w:rPr>
          <w:spacing w:val="1"/>
          <w:sz w:val="27"/>
          <w:szCs w:val="27"/>
        </w:rPr>
        <w:t xml:space="preserve"> </w:t>
      </w:r>
      <w:r w:rsidR="00A00A4F" w:rsidRPr="00A00A4F">
        <w:rPr>
          <w:sz w:val="27"/>
          <w:szCs w:val="27"/>
        </w:rPr>
        <w:t>и объекта капитального строительства</w:t>
      </w:r>
      <w:r w:rsidR="001F34A4" w:rsidRPr="008C30C4">
        <w:rPr>
          <w:spacing w:val="1"/>
          <w:sz w:val="27"/>
          <w:szCs w:val="27"/>
        </w:rPr>
        <w:t xml:space="preserve"> </w:t>
      </w:r>
      <w:r w:rsidR="00A00A4F" w:rsidRPr="00A00A4F">
        <w:rPr>
          <w:sz w:val="27"/>
          <w:szCs w:val="27"/>
        </w:rPr>
        <w:t xml:space="preserve">Данильченко Г. Ш.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FF76D1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A00A4F" w:rsidRPr="00A00A4F">
        <w:rPr>
          <w:sz w:val="27"/>
          <w:szCs w:val="27"/>
        </w:rPr>
        <w:t>Данильченко Г. Ш. на условно разрешенный вид использования земельного участка с кадастровым номером 54:35:014060:5 площадью 369 кв. м с местополож</w:t>
      </w:r>
      <w:r w:rsidR="00A00A4F" w:rsidRPr="00A00A4F">
        <w:rPr>
          <w:sz w:val="27"/>
          <w:szCs w:val="27"/>
        </w:rPr>
        <w:t>е</w:t>
      </w:r>
      <w:r w:rsidR="00A00A4F" w:rsidRPr="00A00A4F">
        <w:rPr>
          <w:sz w:val="27"/>
          <w:szCs w:val="27"/>
        </w:rPr>
        <w:t>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</w:t>
      </w:r>
      <w:r w:rsidR="00A00A4F" w:rsidRPr="00A00A4F">
        <w:rPr>
          <w:sz w:val="27"/>
          <w:szCs w:val="27"/>
        </w:rPr>
        <w:t>и</w:t>
      </w:r>
      <w:r w:rsidR="00A00A4F" w:rsidRPr="00A00A4F">
        <w:rPr>
          <w:sz w:val="27"/>
          <w:szCs w:val="27"/>
        </w:rPr>
        <w:t xml:space="preserve">бирская область, город Новосибирск, ул. Николая Островского, 187, и объекта капитального строительства (зона застройки жилыми домами смешанной этажности (Ж-1), </w:t>
      </w:r>
      <w:proofErr w:type="spellStart"/>
      <w:r w:rsidR="00A00A4F" w:rsidRPr="00A00A4F">
        <w:rPr>
          <w:sz w:val="27"/>
          <w:szCs w:val="27"/>
        </w:rPr>
        <w:t>подзона</w:t>
      </w:r>
      <w:proofErr w:type="spellEnd"/>
      <w:r w:rsidR="00A00A4F" w:rsidRPr="00A00A4F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A00A4F" w:rsidRPr="00A00A4F">
        <w:rPr>
          <w:sz w:val="27"/>
          <w:szCs w:val="27"/>
        </w:rPr>
        <w:t>о</w:t>
      </w:r>
      <w:r w:rsidR="00A00A4F" w:rsidRPr="00A00A4F">
        <w:rPr>
          <w:sz w:val="27"/>
          <w:szCs w:val="27"/>
        </w:rPr>
        <w:t>сти застройки (Ж-1.1)) – «для индивидуального жилищного строительства (2.1) – индивидуальные жилые дома»</w:t>
      </w:r>
      <w:r w:rsidR="00A00A4F">
        <w:rPr>
          <w:sz w:val="27"/>
          <w:szCs w:val="27"/>
        </w:rPr>
        <w:t>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2D5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14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01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2D572E" w:rsidRDefault="002D572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2D572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17.12.2019 № 4569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58 от 19.12.2019 и размещено на сайте в</w:t>
      </w:r>
      <w:proofErr w:type="gramEnd"/>
      <w:r w:rsidRPr="002D572E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2D572E">
        <w:rPr>
          <w:spacing w:val="1"/>
          <w:sz w:val="27"/>
          <w:szCs w:val="27"/>
        </w:rPr>
        <w:t>.р</w:t>
      </w:r>
      <w:proofErr w:type="gramEnd"/>
      <w:r w:rsidRPr="002D572E">
        <w:rPr>
          <w:spacing w:val="1"/>
          <w:sz w:val="27"/>
          <w:szCs w:val="27"/>
        </w:rPr>
        <w:t>ф/. – 19.12.2019.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2D572E">
        <w:rPr>
          <w:spacing w:val="1"/>
          <w:sz w:val="27"/>
          <w:szCs w:val="27"/>
        </w:rPr>
        <w:t>25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2D572E">
        <w:rPr>
          <w:spacing w:val="1"/>
          <w:sz w:val="27"/>
          <w:szCs w:val="27"/>
        </w:rPr>
        <w:t>31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</w:t>
      </w:r>
      <w:r w:rsidR="00442E84" w:rsidRPr="008C30C4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A00A4F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E2203D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E2203D">
        <w:rPr>
          <w:spacing w:val="1"/>
          <w:sz w:val="27"/>
          <w:szCs w:val="27"/>
        </w:rPr>
        <w:t>19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10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01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5F116D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D5580" w:rsidRPr="005F116D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>Предложения экспертов:</w:t>
      </w:r>
    </w:p>
    <w:p w:rsidR="00731E4A" w:rsidRPr="00B53C44" w:rsidRDefault="00731E4A" w:rsidP="00B53C44">
      <w:pPr>
        <w:suppressAutoHyphens/>
        <w:ind w:firstLine="709"/>
        <w:jc w:val="both"/>
        <w:rPr>
          <w:i/>
          <w:spacing w:val="1"/>
          <w:sz w:val="27"/>
          <w:szCs w:val="27"/>
        </w:rPr>
      </w:pPr>
      <w:proofErr w:type="gramStart"/>
      <w:r w:rsidRPr="005F116D">
        <w:rPr>
          <w:spacing w:val="1"/>
          <w:sz w:val="27"/>
          <w:szCs w:val="27"/>
        </w:rPr>
        <w:t>«</w:t>
      </w:r>
      <w:r w:rsidR="00A00A4F" w:rsidRPr="00A00A4F">
        <w:rPr>
          <w:i/>
          <w:spacing w:val="1"/>
          <w:sz w:val="27"/>
          <w:szCs w:val="27"/>
        </w:rPr>
        <w:t xml:space="preserve">Отказать в предоставлении разрешения в связи с непредставлением документов, подтверждающих соблюдение требований технических регламентов, выданных уполномоченной в соответствии с законодательством Российской Федерации организацией, предусмотренных подпунктом 2.7.6 административного регламента </w:t>
      </w:r>
      <w:r w:rsidR="00A00A4F" w:rsidRPr="00B53C44">
        <w:rPr>
          <w:i/>
          <w:spacing w:val="1"/>
          <w:sz w:val="27"/>
          <w:szCs w:val="27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утвержденного постановлением мэрии города Новосибирска от 30.01.2019 № 321</w:t>
      </w:r>
      <w:r w:rsidR="00BC0F5D" w:rsidRPr="00B53C44">
        <w:rPr>
          <w:i/>
          <w:spacing w:val="1"/>
          <w:sz w:val="27"/>
          <w:szCs w:val="27"/>
        </w:rPr>
        <w:t>».</w:t>
      </w:r>
      <w:proofErr w:type="gramEnd"/>
    </w:p>
    <w:p w:rsidR="00FB41DE" w:rsidRPr="005F116D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5F116D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F116D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5F116D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53C44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</w:t>
      </w:r>
      <w:proofErr w:type="gramStart"/>
      <w:r w:rsidRPr="005F116D">
        <w:rPr>
          <w:sz w:val="27"/>
          <w:szCs w:val="27"/>
        </w:rPr>
        <w:t>от</w:t>
      </w:r>
      <w:proofErr w:type="gramEnd"/>
      <w:r w:rsidRPr="005F116D">
        <w:rPr>
          <w:sz w:val="27"/>
          <w:szCs w:val="27"/>
        </w:rPr>
        <w:t xml:space="preserve"> </w:t>
      </w:r>
      <w:proofErr w:type="gramStart"/>
      <w:r w:rsidRPr="005F116D">
        <w:rPr>
          <w:sz w:val="27"/>
          <w:szCs w:val="27"/>
        </w:rPr>
        <w:lastRenderedPageBreak/>
        <w:t>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 w:rsidRPr="005F116D">
        <w:rPr>
          <w:sz w:val="27"/>
          <w:szCs w:val="27"/>
        </w:rPr>
        <w:t> </w:t>
      </w:r>
      <w:r w:rsidRPr="005F116D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FF76D1">
        <w:rPr>
          <w:sz w:val="27"/>
          <w:szCs w:val="27"/>
        </w:rPr>
        <w:t xml:space="preserve">обсуждений и </w:t>
      </w:r>
      <w:r w:rsidRPr="00B53C44">
        <w:rPr>
          <w:sz w:val="27"/>
          <w:szCs w:val="27"/>
        </w:rPr>
        <w:t>публичных слушаний в соответствии с законодательством о градостроительной деятельности».</w:t>
      </w:r>
      <w:proofErr w:type="gramEnd"/>
    </w:p>
    <w:p w:rsidR="00A00A4F" w:rsidRDefault="002D572E" w:rsidP="00A00A4F">
      <w:pPr>
        <w:ind w:firstLine="709"/>
        <w:jc w:val="both"/>
        <w:rPr>
          <w:sz w:val="27"/>
          <w:szCs w:val="27"/>
        </w:rPr>
      </w:pPr>
      <w:r w:rsidRPr="00B53C44">
        <w:rPr>
          <w:sz w:val="27"/>
          <w:szCs w:val="27"/>
        </w:rPr>
        <w:t>3</w:t>
      </w:r>
      <w:r w:rsidR="00F164A2" w:rsidRPr="00B53C44">
        <w:rPr>
          <w:sz w:val="27"/>
          <w:szCs w:val="27"/>
        </w:rPr>
        <w:t>. </w:t>
      </w:r>
      <w:r w:rsidR="00A00A4F" w:rsidRPr="00B53C44">
        <w:rPr>
          <w:sz w:val="27"/>
          <w:szCs w:val="27"/>
        </w:rPr>
        <w:t xml:space="preserve">Отказать Данильченко Г. Ш. в предоставлении </w:t>
      </w:r>
      <w:r w:rsidR="00D14369" w:rsidRPr="00B53C44">
        <w:rPr>
          <w:sz w:val="27"/>
          <w:szCs w:val="27"/>
        </w:rPr>
        <w:t>разрешени</w:t>
      </w:r>
      <w:r w:rsidR="00A00A4F" w:rsidRPr="00B53C44">
        <w:rPr>
          <w:sz w:val="27"/>
          <w:szCs w:val="27"/>
        </w:rPr>
        <w:t>я</w:t>
      </w:r>
      <w:r w:rsidR="00D14369" w:rsidRPr="00B53C44">
        <w:rPr>
          <w:sz w:val="27"/>
          <w:szCs w:val="27"/>
        </w:rPr>
        <w:t xml:space="preserve"> </w:t>
      </w:r>
      <w:r w:rsidR="00A00A4F" w:rsidRPr="00B53C44">
        <w:rPr>
          <w:sz w:val="27"/>
          <w:szCs w:val="27"/>
        </w:rPr>
        <w:t>на условно ра</w:t>
      </w:r>
      <w:r w:rsidR="00A00A4F" w:rsidRPr="00B53C44">
        <w:rPr>
          <w:sz w:val="27"/>
          <w:szCs w:val="27"/>
        </w:rPr>
        <w:t>з</w:t>
      </w:r>
      <w:r w:rsidR="00A00A4F" w:rsidRPr="00B53C44">
        <w:rPr>
          <w:sz w:val="27"/>
          <w:szCs w:val="27"/>
        </w:rPr>
        <w:t xml:space="preserve">решенный вид использования земельного участка с кадастровым номером 54:35:014060:5 площадью 369 кв. м с местоположением: установлено относительно ориентира, расположенного в границах участка, ориентир – индивидуальный жилой дом по адресу: </w:t>
      </w:r>
      <w:proofErr w:type="gramStart"/>
      <w:r w:rsidR="00A00A4F" w:rsidRPr="00B53C44">
        <w:rPr>
          <w:sz w:val="27"/>
          <w:szCs w:val="27"/>
        </w:rPr>
        <w:t xml:space="preserve">Российская Федерация, Новосибирская область, город Новосибирск, ул. Николая Островского, 187, и объекта капитального строительства (зона застройки жилыми домами смешанной этажности (Ж-1), </w:t>
      </w:r>
      <w:proofErr w:type="spellStart"/>
      <w:r w:rsidR="00A00A4F" w:rsidRPr="00B53C44">
        <w:rPr>
          <w:sz w:val="27"/>
          <w:szCs w:val="27"/>
        </w:rPr>
        <w:t>подзона</w:t>
      </w:r>
      <w:proofErr w:type="spellEnd"/>
      <w:r w:rsidR="00A00A4F" w:rsidRPr="00B53C44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A00A4F" w:rsidRPr="00B53C44">
        <w:rPr>
          <w:sz w:val="27"/>
          <w:szCs w:val="27"/>
        </w:rPr>
        <w:t>ь</w:t>
      </w:r>
      <w:r w:rsidR="00A00A4F" w:rsidRPr="00B53C44">
        <w:rPr>
          <w:sz w:val="27"/>
          <w:szCs w:val="27"/>
        </w:rPr>
        <w:t>ного жилищного строительства (2.1) – индивидуальные жилые дома» в связи с непредставлением документов, подтверждающих соблюдение требований технич</w:t>
      </w:r>
      <w:r w:rsidR="00A00A4F" w:rsidRPr="00B53C44">
        <w:rPr>
          <w:sz w:val="27"/>
          <w:szCs w:val="27"/>
        </w:rPr>
        <w:t>е</w:t>
      </w:r>
      <w:r w:rsidR="00A00A4F" w:rsidRPr="00B53C44">
        <w:rPr>
          <w:sz w:val="27"/>
          <w:szCs w:val="27"/>
        </w:rPr>
        <w:t>ских регламентов, выданных уполномоченной в соответствии с законодательством Российской Федерации организацией.</w:t>
      </w:r>
      <w:proofErr w:type="gramEnd"/>
    </w:p>
    <w:p w:rsidR="007D4864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A00A4F" w:rsidRPr="008C30C4" w:rsidRDefault="00A00A4F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И.о.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 w:rsidRPr="008C30C4"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М</w:t>
            </w:r>
            <w:r w:rsidR="00BF54C3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31" w:rsidRDefault="00466531" w:rsidP="00AA2F13">
      <w:r>
        <w:separator/>
      </w:r>
    </w:p>
  </w:endnote>
  <w:endnote w:type="continuationSeparator" w:id="0">
    <w:p w:rsidR="00466531" w:rsidRDefault="0046653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31" w:rsidRDefault="00466531" w:rsidP="00AA2F13">
      <w:r>
        <w:separator/>
      </w:r>
    </w:p>
  </w:footnote>
  <w:footnote w:type="continuationSeparator" w:id="0">
    <w:p w:rsidR="00466531" w:rsidRDefault="0046653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BD39F4">
    <w:pPr>
      <w:pStyle w:val="a8"/>
      <w:jc w:val="center"/>
    </w:pPr>
    <w:fldSimple w:instr=" PAGE   \* MERGEFORMAT ">
      <w:r w:rsidR="00B53C44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3409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717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66531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E4178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0A4F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C44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39F4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4369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5687"/>
    <w:rsid w:val="00E17B4A"/>
    <w:rsid w:val="00E2203D"/>
    <w:rsid w:val="00E234B3"/>
    <w:rsid w:val="00E23E54"/>
    <w:rsid w:val="00E31231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6D1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20F1C26-D115-415C-A9CB-F7BC43D0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2018-10-29T07:32:00Z</cp:lastPrinted>
  <dcterms:created xsi:type="dcterms:W3CDTF">2020-01-04T06:10:00Z</dcterms:created>
  <dcterms:modified xsi:type="dcterms:W3CDTF">2020-01-13T07:53:00Z</dcterms:modified>
</cp:coreProperties>
</file>