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D073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361F9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FD5623">
              <w:rPr>
                <w:sz w:val="27"/>
                <w:szCs w:val="27"/>
              </w:rPr>
              <w:t>о</w:t>
            </w:r>
            <w:r w:rsidR="00FD5623" w:rsidRPr="00FD5623">
              <w:rPr>
                <w:sz w:val="27"/>
                <w:szCs w:val="27"/>
              </w:rPr>
              <w:t>бществу с ограниченной ответственностью «Торговый квартал – Новосибирск»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0271D7" w:rsidRDefault="00D25713" w:rsidP="002B749B">
      <w:pPr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2B749B" w:rsidRPr="002B749B">
        <w:rPr>
          <w:color w:val="000000" w:themeColor="text1"/>
          <w:sz w:val="27"/>
          <w:szCs w:val="27"/>
        </w:rPr>
        <w:t xml:space="preserve">Обществу с ограниченной ответственностью «Торговый квартал – Новосибирск» на условно разрешенный вид использования земельного участка с кадастровым номером 54:35:000000:8 площадью 95860 кв. м с местоположением: установлено относительно ориентира, расположенного в границах участка. Ориентир – Дзержинский и Октябрьский районы. Адрес ориентира: Российская Федерация, Новосибирская область, город Новосибирск, ул. Фрунзе (зона специализированной общественной застройки (ОД-4), </w:t>
      </w:r>
      <w:proofErr w:type="spellStart"/>
      <w:r w:rsidR="002B749B" w:rsidRPr="002B749B">
        <w:rPr>
          <w:color w:val="000000" w:themeColor="text1"/>
          <w:sz w:val="27"/>
          <w:szCs w:val="27"/>
        </w:rPr>
        <w:t>подзона</w:t>
      </w:r>
      <w:proofErr w:type="spellEnd"/>
      <w:r w:rsidR="002B749B" w:rsidRPr="002B749B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застройки (ОД-4.1)) – «автомобильные мойки (4.9.1.3)».</w:t>
      </w:r>
    </w:p>
    <w:p w:rsidR="00FE2272" w:rsidRPr="00E70A0A" w:rsidRDefault="00EC78A0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 </w:t>
      </w:r>
      <w:r w:rsidR="00645674"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D073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686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8CBD-D594-463A-A01B-7E8B6402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216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2021-06-15T02:55:00Z</dcterms:created>
  <dcterms:modified xsi:type="dcterms:W3CDTF">2022-05-23T03:17:00Z</dcterms:modified>
</cp:coreProperties>
</file>