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D3671C">
        <w:rPr>
          <w:b/>
          <w:sz w:val="27"/>
          <w:szCs w:val="27"/>
        </w:rPr>
        <w:t>ЗАКЛЮЧЕНИЕ</w:t>
      </w:r>
    </w:p>
    <w:p w:rsidR="00432403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D3671C">
        <w:rPr>
          <w:spacing w:val="1"/>
          <w:sz w:val="27"/>
          <w:szCs w:val="27"/>
        </w:rPr>
        <w:t>й</w:t>
      </w:r>
      <w:r w:rsidRPr="00D3671C">
        <w:rPr>
          <w:spacing w:val="1"/>
          <w:sz w:val="27"/>
          <w:szCs w:val="27"/>
        </w:rPr>
        <w:t xml:space="preserve"> вид использования</w:t>
      </w:r>
      <w:r w:rsidR="00432403">
        <w:rPr>
          <w:spacing w:val="1"/>
          <w:sz w:val="27"/>
          <w:szCs w:val="27"/>
        </w:rPr>
        <w:t xml:space="preserve"> </w:t>
      </w:r>
      <w:r w:rsidRPr="00D3671C">
        <w:rPr>
          <w:spacing w:val="1"/>
          <w:sz w:val="27"/>
          <w:szCs w:val="27"/>
        </w:rPr>
        <w:t>земельн</w:t>
      </w:r>
      <w:r w:rsidR="001F34A4" w:rsidRPr="00D3671C">
        <w:rPr>
          <w:spacing w:val="1"/>
          <w:sz w:val="27"/>
          <w:szCs w:val="27"/>
        </w:rPr>
        <w:t>ого</w:t>
      </w:r>
      <w:r w:rsidRPr="00D3671C">
        <w:rPr>
          <w:spacing w:val="1"/>
          <w:sz w:val="27"/>
          <w:szCs w:val="27"/>
        </w:rPr>
        <w:t xml:space="preserve"> участк</w:t>
      </w:r>
      <w:r w:rsidR="001F34A4" w:rsidRPr="00D3671C">
        <w:rPr>
          <w:spacing w:val="1"/>
          <w:sz w:val="27"/>
          <w:szCs w:val="27"/>
        </w:rPr>
        <w:t xml:space="preserve">а </w:t>
      </w:r>
      <w:r w:rsidR="00432403" w:rsidRPr="00432403">
        <w:rPr>
          <w:sz w:val="27"/>
          <w:szCs w:val="27"/>
        </w:rPr>
        <w:t xml:space="preserve">Карнауховой В. А., </w:t>
      </w:r>
      <w:proofErr w:type="spellStart"/>
      <w:r w:rsidR="00432403" w:rsidRPr="00432403">
        <w:rPr>
          <w:sz w:val="27"/>
          <w:szCs w:val="27"/>
        </w:rPr>
        <w:t>Першиковой</w:t>
      </w:r>
      <w:proofErr w:type="spellEnd"/>
      <w:r w:rsidR="00432403" w:rsidRPr="00432403">
        <w:rPr>
          <w:sz w:val="27"/>
          <w:szCs w:val="27"/>
        </w:rPr>
        <w:t xml:space="preserve"> Р. И., Танковой Е. В., Давыдовой Н. А., Попову П. И., Пичугиной З. К., Виноградовой Е. В., </w:t>
      </w:r>
      <w:proofErr w:type="spellStart"/>
      <w:r w:rsidR="00432403" w:rsidRPr="00432403">
        <w:rPr>
          <w:sz w:val="27"/>
          <w:szCs w:val="27"/>
        </w:rPr>
        <w:t>Буяновской</w:t>
      </w:r>
      <w:proofErr w:type="spellEnd"/>
      <w:r w:rsidR="00432403" w:rsidRPr="00432403">
        <w:rPr>
          <w:sz w:val="27"/>
          <w:szCs w:val="27"/>
        </w:rPr>
        <w:t xml:space="preserve"> И. П.</w:t>
      </w:r>
      <w:r w:rsidR="003E6218" w:rsidRPr="003E6218">
        <w:rPr>
          <w:sz w:val="27"/>
          <w:szCs w:val="27"/>
        </w:rPr>
        <w:t xml:space="preserve"> </w:t>
      </w:r>
    </w:p>
    <w:p w:rsidR="00F164A2" w:rsidRPr="00D3671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(далее – проект).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3671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D3671C">
        <w:rPr>
          <w:sz w:val="27"/>
          <w:szCs w:val="27"/>
        </w:rPr>
        <w:t>с</w:t>
      </w:r>
      <w:r w:rsidRPr="00D3671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рода</w:t>
      </w:r>
      <w:proofErr w:type="gramEnd"/>
      <w:r w:rsidRPr="00D3671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D3671C">
        <w:rPr>
          <w:sz w:val="27"/>
          <w:szCs w:val="27"/>
        </w:rPr>
        <w:t>е</w:t>
      </w:r>
      <w:r w:rsidRPr="00D3671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C7B8D" w:rsidRPr="009C7B8D" w:rsidRDefault="001F34A4" w:rsidP="00432403">
      <w:pPr>
        <w:ind w:firstLine="709"/>
        <w:jc w:val="both"/>
        <w:rPr>
          <w:sz w:val="27"/>
          <w:szCs w:val="27"/>
        </w:rPr>
      </w:pPr>
      <w:r w:rsidRPr="00D3671C">
        <w:rPr>
          <w:spacing w:val="1"/>
          <w:sz w:val="27"/>
          <w:szCs w:val="27"/>
        </w:rPr>
        <w:t>«</w:t>
      </w:r>
      <w:r w:rsidR="00432403" w:rsidRPr="00432403">
        <w:rPr>
          <w:sz w:val="27"/>
          <w:szCs w:val="27"/>
        </w:rPr>
        <w:t xml:space="preserve">Карнауховой В. А., </w:t>
      </w:r>
      <w:proofErr w:type="spellStart"/>
      <w:r w:rsidR="00432403" w:rsidRPr="00432403">
        <w:rPr>
          <w:sz w:val="27"/>
          <w:szCs w:val="27"/>
        </w:rPr>
        <w:t>Першиковой</w:t>
      </w:r>
      <w:proofErr w:type="spellEnd"/>
      <w:r w:rsidR="00432403" w:rsidRPr="00432403">
        <w:rPr>
          <w:sz w:val="27"/>
          <w:szCs w:val="27"/>
        </w:rPr>
        <w:t xml:space="preserve"> Р. И., Танковой Е. В., Давыдовой Н. А., П</w:t>
      </w:r>
      <w:r w:rsidR="00432403" w:rsidRPr="00432403">
        <w:rPr>
          <w:sz w:val="27"/>
          <w:szCs w:val="27"/>
        </w:rPr>
        <w:t>о</w:t>
      </w:r>
      <w:r w:rsidR="00432403" w:rsidRPr="00432403">
        <w:rPr>
          <w:sz w:val="27"/>
          <w:szCs w:val="27"/>
        </w:rPr>
        <w:t xml:space="preserve">пову П. И., Пичугиной З. К., Виноградовой Е. В., </w:t>
      </w:r>
      <w:proofErr w:type="spellStart"/>
      <w:r w:rsidR="00432403" w:rsidRPr="00432403">
        <w:rPr>
          <w:sz w:val="27"/>
          <w:szCs w:val="27"/>
        </w:rPr>
        <w:t>Буяновской</w:t>
      </w:r>
      <w:proofErr w:type="spellEnd"/>
      <w:r w:rsidR="00432403" w:rsidRPr="00432403">
        <w:rPr>
          <w:sz w:val="27"/>
          <w:szCs w:val="27"/>
        </w:rPr>
        <w:t xml:space="preserve"> И. П. на условно разрешенный вид использования земельного участка с кадастровым номером 54:35:051050:48 площадью 1190 кв. м по адресу: </w:t>
      </w:r>
      <w:proofErr w:type="gramStart"/>
      <w:r w:rsidR="00432403" w:rsidRPr="00432403">
        <w:rPr>
          <w:sz w:val="27"/>
          <w:szCs w:val="27"/>
        </w:rPr>
        <w:t xml:space="preserve">Российская </w:t>
      </w:r>
      <w:proofErr w:type="spellStart"/>
      <w:r w:rsidR="00432403" w:rsidRPr="00432403">
        <w:rPr>
          <w:sz w:val="27"/>
          <w:szCs w:val="27"/>
        </w:rPr>
        <w:t>Федера-ция</w:t>
      </w:r>
      <w:proofErr w:type="spellEnd"/>
      <w:r w:rsidR="00432403" w:rsidRPr="00432403">
        <w:rPr>
          <w:sz w:val="27"/>
          <w:szCs w:val="27"/>
        </w:rPr>
        <w:t>, Новос</w:t>
      </w:r>
      <w:r w:rsidR="00432403" w:rsidRPr="00432403">
        <w:rPr>
          <w:sz w:val="27"/>
          <w:szCs w:val="27"/>
        </w:rPr>
        <w:t>и</w:t>
      </w:r>
      <w:r w:rsidR="00432403" w:rsidRPr="00432403">
        <w:rPr>
          <w:sz w:val="27"/>
          <w:szCs w:val="27"/>
        </w:rPr>
        <w:t>бирская область, город Новосибирск, дачное некоммерческое партнерство «</w:t>
      </w:r>
      <w:proofErr w:type="spellStart"/>
      <w:r w:rsidR="00432403" w:rsidRPr="00432403">
        <w:rPr>
          <w:sz w:val="27"/>
          <w:szCs w:val="27"/>
        </w:rPr>
        <w:t>Тулинское</w:t>
      </w:r>
      <w:proofErr w:type="spellEnd"/>
      <w:r w:rsidR="00432403" w:rsidRPr="00432403">
        <w:rPr>
          <w:sz w:val="27"/>
          <w:szCs w:val="27"/>
        </w:rPr>
        <w:t xml:space="preserve"> заречье», участок № 132 и объекта капитального строительства (зона з</w:t>
      </w:r>
      <w:r w:rsidR="00432403" w:rsidRPr="00432403">
        <w:rPr>
          <w:sz w:val="27"/>
          <w:szCs w:val="27"/>
        </w:rPr>
        <w:t>а</w:t>
      </w:r>
      <w:r w:rsidR="00432403" w:rsidRPr="00432403">
        <w:rPr>
          <w:sz w:val="27"/>
          <w:szCs w:val="27"/>
        </w:rPr>
        <w:t>стройки индивидуальными жилыми домами (Ж-6) – «блокированная жилая застройка (2.3) – жилые дома блокированной застройки»</w:t>
      </w:r>
      <w:r w:rsidR="009C7B8D" w:rsidRPr="009C7B8D">
        <w:rPr>
          <w:sz w:val="27"/>
          <w:szCs w:val="27"/>
        </w:rPr>
        <w:t>.</w:t>
      </w:r>
      <w:proofErr w:type="gramEnd"/>
    </w:p>
    <w:p w:rsidR="001F34A4" w:rsidRPr="00D3671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D3671C" w:rsidTr="00F164A2">
        <w:tc>
          <w:tcPr>
            <w:tcW w:w="4644" w:type="dxa"/>
          </w:tcPr>
          <w:p w:rsidR="00F164A2" w:rsidRPr="00D3671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18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</w:t>
            </w:r>
            <w:r w:rsidR="00EB20E2" w:rsidRPr="00D3671C">
              <w:rPr>
                <w:b/>
                <w:spacing w:val="1"/>
                <w:sz w:val="27"/>
                <w:szCs w:val="27"/>
              </w:rPr>
              <w:t>1</w:t>
            </w:r>
            <w:r w:rsidRPr="00D3671C">
              <w:rPr>
                <w:b/>
                <w:spacing w:val="1"/>
                <w:sz w:val="27"/>
                <w:szCs w:val="27"/>
              </w:rPr>
              <w:t>1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3671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D3671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D3671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D3671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D3671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D3671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D3671C">
          <w:rPr>
            <w:sz w:val="27"/>
            <w:szCs w:val="27"/>
          </w:rPr>
          <w:t>http://новосибирск.рф/</w:t>
        </w:r>
      </w:hyperlink>
      <w:r w:rsidRPr="00D3671C">
        <w:rPr>
          <w:sz w:val="27"/>
          <w:szCs w:val="27"/>
        </w:rPr>
        <w:t>. – 24.10.2019.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3671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3671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3671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D3671C">
        <w:rPr>
          <w:sz w:val="27"/>
          <w:szCs w:val="27"/>
        </w:rPr>
        <w:t xml:space="preserve">имели право </w:t>
      </w:r>
      <w:r w:rsidRPr="00D3671C">
        <w:rPr>
          <w:sz w:val="27"/>
          <w:szCs w:val="27"/>
        </w:rPr>
        <w:t>вноси</w:t>
      </w:r>
      <w:r w:rsidR="000D5580" w:rsidRPr="00D3671C">
        <w:rPr>
          <w:sz w:val="27"/>
          <w:szCs w:val="27"/>
        </w:rPr>
        <w:t>ть</w:t>
      </w:r>
      <w:r w:rsidRPr="00D3671C">
        <w:rPr>
          <w:sz w:val="27"/>
          <w:szCs w:val="27"/>
        </w:rPr>
        <w:t xml:space="preserve"> предложения и замечания</w:t>
      </w:r>
      <w:r w:rsidRPr="00D3671C">
        <w:rPr>
          <w:spacing w:val="1"/>
          <w:sz w:val="27"/>
          <w:szCs w:val="27"/>
        </w:rPr>
        <w:t xml:space="preserve"> - с </w:t>
      </w:r>
      <w:r w:rsidR="00B343AD" w:rsidRPr="00D3671C">
        <w:rPr>
          <w:spacing w:val="1"/>
          <w:sz w:val="27"/>
          <w:szCs w:val="27"/>
        </w:rPr>
        <w:t>30</w:t>
      </w:r>
      <w:r w:rsidR="001F64EC" w:rsidRPr="00D3671C">
        <w:rPr>
          <w:spacing w:val="1"/>
          <w:sz w:val="27"/>
          <w:szCs w:val="27"/>
        </w:rPr>
        <w:t>.10</w:t>
      </w:r>
      <w:r w:rsidR="007E2C6E" w:rsidRPr="00D3671C">
        <w:rPr>
          <w:spacing w:val="1"/>
          <w:sz w:val="27"/>
          <w:szCs w:val="27"/>
        </w:rPr>
        <w:t>.2019</w:t>
      </w:r>
      <w:r w:rsidR="00377BBE" w:rsidRPr="00D3671C">
        <w:rPr>
          <w:spacing w:val="1"/>
          <w:sz w:val="27"/>
          <w:szCs w:val="27"/>
        </w:rPr>
        <w:t xml:space="preserve"> по </w:t>
      </w:r>
      <w:r w:rsidR="00B343AD" w:rsidRPr="00D3671C">
        <w:rPr>
          <w:spacing w:val="1"/>
          <w:sz w:val="27"/>
          <w:szCs w:val="27"/>
        </w:rPr>
        <w:t>1</w:t>
      </w:r>
      <w:r w:rsidR="001F64EC" w:rsidRPr="00D3671C">
        <w:rPr>
          <w:spacing w:val="1"/>
          <w:sz w:val="27"/>
          <w:szCs w:val="27"/>
        </w:rPr>
        <w:t>0.1</w:t>
      </w:r>
      <w:r w:rsidR="00B343AD" w:rsidRPr="00D3671C">
        <w:rPr>
          <w:spacing w:val="1"/>
          <w:sz w:val="27"/>
          <w:szCs w:val="27"/>
        </w:rPr>
        <w:t>1</w:t>
      </w:r>
      <w:r w:rsidRPr="00D3671C">
        <w:rPr>
          <w:spacing w:val="1"/>
          <w:sz w:val="27"/>
          <w:szCs w:val="27"/>
        </w:rPr>
        <w:t>.201</w:t>
      </w:r>
      <w:r w:rsidR="007E2C6E" w:rsidRPr="00D3671C">
        <w:rPr>
          <w:spacing w:val="1"/>
          <w:sz w:val="27"/>
          <w:szCs w:val="27"/>
        </w:rPr>
        <w:t>9</w:t>
      </w:r>
      <w:r w:rsidRPr="00D3671C">
        <w:rPr>
          <w:sz w:val="27"/>
          <w:szCs w:val="27"/>
        </w:rPr>
        <w:t>:</w:t>
      </w:r>
      <w:proofErr w:type="gramEnd"/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D3671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D3671C">
        <w:rPr>
          <w:spacing w:val="1"/>
          <w:sz w:val="27"/>
          <w:szCs w:val="27"/>
        </w:rPr>
        <w:t>застройки города</w:t>
      </w:r>
      <w:proofErr w:type="gramEnd"/>
      <w:r w:rsidR="00442E84" w:rsidRPr="00D3671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D3671C">
        <w:rPr>
          <w:sz w:val="27"/>
          <w:szCs w:val="27"/>
        </w:rPr>
        <w:t>;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D3671C">
        <w:rPr>
          <w:spacing w:val="1"/>
          <w:sz w:val="27"/>
          <w:szCs w:val="27"/>
        </w:rPr>
        <w:t>д</w:t>
      </w:r>
      <w:r w:rsidRPr="00D3671C">
        <w:rPr>
          <w:spacing w:val="1"/>
          <w:sz w:val="27"/>
          <w:szCs w:val="27"/>
        </w:rPr>
        <w:t xml:space="preserve">ством информационной системы – </w:t>
      </w:r>
      <w:r w:rsidR="003E6218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D3671C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Заключение </w:t>
      </w: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D3671C">
        <w:rPr>
          <w:spacing w:val="1"/>
          <w:sz w:val="27"/>
          <w:szCs w:val="27"/>
        </w:rPr>
        <w:t>1</w:t>
      </w:r>
      <w:r w:rsidR="00B343AD" w:rsidRPr="00D3671C">
        <w:rPr>
          <w:spacing w:val="1"/>
          <w:sz w:val="27"/>
          <w:szCs w:val="27"/>
        </w:rPr>
        <w:t>7</w:t>
      </w:r>
      <w:r w:rsidRPr="00D3671C">
        <w:rPr>
          <w:spacing w:val="1"/>
          <w:sz w:val="27"/>
          <w:szCs w:val="27"/>
        </w:rPr>
        <w:t>-</w:t>
      </w:r>
      <w:r w:rsidR="005F1F63" w:rsidRPr="00D3671C">
        <w:rPr>
          <w:spacing w:val="1"/>
          <w:sz w:val="27"/>
          <w:szCs w:val="27"/>
        </w:rPr>
        <w:t>2019-</w:t>
      </w:r>
      <w:r w:rsidRPr="00D3671C">
        <w:rPr>
          <w:spacing w:val="1"/>
          <w:sz w:val="27"/>
          <w:szCs w:val="27"/>
        </w:rPr>
        <w:t xml:space="preserve">УРВ от </w:t>
      </w:r>
      <w:r w:rsidR="00B343AD" w:rsidRPr="00D3671C">
        <w:rPr>
          <w:spacing w:val="1"/>
          <w:sz w:val="27"/>
          <w:szCs w:val="27"/>
        </w:rPr>
        <w:t>1</w:t>
      </w:r>
      <w:r w:rsidR="00146824" w:rsidRPr="00D3671C">
        <w:rPr>
          <w:spacing w:val="1"/>
          <w:sz w:val="27"/>
          <w:szCs w:val="27"/>
        </w:rPr>
        <w:t>5</w:t>
      </w:r>
      <w:r w:rsidR="00FF3CF1" w:rsidRPr="00D3671C">
        <w:rPr>
          <w:spacing w:val="1"/>
          <w:sz w:val="27"/>
          <w:szCs w:val="27"/>
        </w:rPr>
        <w:t>.</w:t>
      </w:r>
      <w:r w:rsidR="00EB20E2" w:rsidRPr="00D3671C">
        <w:rPr>
          <w:spacing w:val="1"/>
          <w:sz w:val="27"/>
          <w:szCs w:val="27"/>
        </w:rPr>
        <w:t>10</w:t>
      </w:r>
      <w:r w:rsidR="00B301A7" w:rsidRPr="00D3671C">
        <w:rPr>
          <w:spacing w:val="1"/>
          <w:sz w:val="27"/>
          <w:szCs w:val="27"/>
        </w:rPr>
        <w:t>.2019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D3671C">
        <w:rPr>
          <w:b/>
          <w:spacing w:val="1"/>
          <w:sz w:val="27"/>
          <w:szCs w:val="27"/>
        </w:rPr>
        <w:t>ж</w:t>
      </w:r>
      <w:r w:rsidRPr="00D3671C">
        <w:rPr>
          <w:b/>
          <w:spacing w:val="1"/>
          <w:sz w:val="27"/>
          <w:szCs w:val="27"/>
        </w:rPr>
        <w:t>дений:</w:t>
      </w:r>
    </w:p>
    <w:p w:rsidR="002131E0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1. </w:t>
      </w:r>
      <w:proofErr w:type="gramStart"/>
      <w:r w:rsidRPr="00D3671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D3671C">
        <w:rPr>
          <w:b/>
          <w:spacing w:val="1"/>
          <w:sz w:val="27"/>
          <w:szCs w:val="27"/>
        </w:rPr>
        <w:t>т</w:t>
      </w:r>
      <w:r w:rsidRPr="00D3671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D3671C">
        <w:rPr>
          <w:spacing w:val="1"/>
          <w:sz w:val="27"/>
          <w:szCs w:val="27"/>
        </w:rPr>
        <w:t>(</w:t>
      </w:r>
      <w:r w:rsidRPr="00D3671C">
        <w:rPr>
          <w:sz w:val="27"/>
          <w:szCs w:val="27"/>
        </w:rPr>
        <w:t>участниками общественных о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D3671C">
        <w:rPr>
          <w:sz w:val="27"/>
          <w:szCs w:val="27"/>
        </w:rPr>
        <w:t>ъ</w:t>
      </w:r>
      <w:r w:rsidRPr="00D3671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D3671C">
        <w:rPr>
          <w:sz w:val="27"/>
          <w:szCs w:val="27"/>
        </w:rPr>
        <w:t xml:space="preserve"> – </w:t>
      </w:r>
      <w:r w:rsidR="005C426D" w:rsidRPr="00D3671C">
        <w:rPr>
          <w:b/>
          <w:sz w:val="27"/>
          <w:szCs w:val="27"/>
        </w:rPr>
        <w:t>не поступали</w:t>
      </w:r>
      <w:r w:rsidR="005C426D" w:rsidRPr="00D3671C">
        <w:rPr>
          <w:sz w:val="27"/>
          <w:szCs w:val="27"/>
        </w:rPr>
        <w:t>.</w:t>
      </w:r>
      <w:proofErr w:type="gramEnd"/>
    </w:p>
    <w:p w:rsidR="00900E49" w:rsidRPr="00D3671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D3671C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3E6218">
        <w:rPr>
          <w:b/>
          <w:spacing w:val="1"/>
          <w:sz w:val="27"/>
          <w:szCs w:val="27"/>
        </w:rPr>
        <w:t xml:space="preserve"> </w:t>
      </w:r>
      <w:r w:rsidR="003E6218" w:rsidRPr="00D3671C">
        <w:rPr>
          <w:b/>
          <w:sz w:val="27"/>
          <w:szCs w:val="27"/>
        </w:rPr>
        <w:t>не п</w:t>
      </w:r>
      <w:r w:rsidR="003E6218" w:rsidRPr="00D3671C">
        <w:rPr>
          <w:b/>
          <w:sz w:val="27"/>
          <w:szCs w:val="27"/>
        </w:rPr>
        <w:t>о</w:t>
      </w:r>
      <w:r w:rsidR="003E6218" w:rsidRPr="00D3671C">
        <w:rPr>
          <w:b/>
          <w:sz w:val="27"/>
          <w:szCs w:val="27"/>
        </w:rPr>
        <w:t>ступали</w:t>
      </w:r>
      <w:r w:rsidR="003E6218">
        <w:rPr>
          <w:b/>
          <w:sz w:val="27"/>
          <w:szCs w:val="27"/>
        </w:rPr>
        <w:t>.</w:t>
      </w:r>
    </w:p>
    <w:p w:rsidR="00232FA8" w:rsidRPr="00D3671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D3671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D3671C" w:rsidRDefault="00731E4A" w:rsidP="00432403">
      <w:pPr>
        <w:suppressAutoHyphens/>
        <w:ind w:firstLine="708"/>
        <w:jc w:val="both"/>
        <w:rPr>
          <w:b/>
          <w:sz w:val="27"/>
          <w:szCs w:val="27"/>
        </w:rPr>
      </w:pPr>
      <w:r w:rsidRPr="00D3671C">
        <w:rPr>
          <w:color w:val="000000"/>
          <w:spacing w:val="1"/>
          <w:sz w:val="27"/>
          <w:szCs w:val="27"/>
        </w:rPr>
        <w:t>«</w:t>
      </w:r>
      <w:r w:rsidR="00432403" w:rsidRPr="00432403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</w:t>
      </w:r>
      <w:r w:rsidR="00432403">
        <w:rPr>
          <w:i/>
          <w:spacing w:val="1"/>
          <w:sz w:val="27"/>
          <w:szCs w:val="27"/>
        </w:rPr>
        <w:t>ь</w:t>
      </w:r>
      <w:r w:rsidR="00432403" w:rsidRPr="00432403">
        <w:rPr>
          <w:i/>
          <w:spacing w:val="1"/>
          <w:sz w:val="27"/>
          <w:szCs w:val="27"/>
        </w:rPr>
        <w:t>ства в отсутствие разрешения на строительство (самовольная постройка));</w:t>
      </w:r>
      <w:r w:rsidR="00432403">
        <w:rPr>
          <w:i/>
          <w:spacing w:val="1"/>
          <w:sz w:val="27"/>
          <w:szCs w:val="27"/>
        </w:rPr>
        <w:t xml:space="preserve"> </w:t>
      </w:r>
      <w:proofErr w:type="gramStart"/>
      <w:r w:rsidR="00432403" w:rsidRPr="00432403">
        <w:rPr>
          <w:i/>
          <w:spacing w:val="1"/>
          <w:sz w:val="27"/>
          <w:szCs w:val="27"/>
        </w:rPr>
        <w:t>части 24 статьи 54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пункт</w:t>
      </w:r>
      <w:r w:rsidR="00432403">
        <w:rPr>
          <w:i/>
          <w:spacing w:val="1"/>
          <w:sz w:val="27"/>
          <w:szCs w:val="27"/>
        </w:rPr>
        <w:t>а</w:t>
      </w:r>
      <w:r w:rsidR="00432403" w:rsidRPr="00432403">
        <w:rPr>
          <w:i/>
          <w:spacing w:val="1"/>
          <w:sz w:val="27"/>
          <w:szCs w:val="27"/>
        </w:rPr>
        <w:t xml:space="preserve"> 2 части 1 статьи 36 Правил землепользования и застройки города Новосибирска, утвержденных решением Совета депутатов города Новосибирска от 24.06.2009 № 1288 (размер земельного участка больше установленного предельного максимального размера земельного участка с</w:t>
      </w:r>
      <w:proofErr w:type="gramEnd"/>
      <w:r w:rsidR="00432403" w:rsidRPr="00432403">
        <w:rPr>
          <w:i/>
          <w:spacing w:val="1"/>
          <w:sz w:val="27"/>
          <w:szCs w:val="27"/>
        </w:rPr>
        <w:t xml:space="preserve"> видом разрешенного использования «блокированная жилая застройка (2.3)»)</w:t>
      </w:r>
      <w:r w:rsidR="00BC0F5D" w:rsidRPr="00D3671C">
        <w:rPr>
          <w:i/>
          <w:spacing w:val="1"/>
          <w:sz w:val="27"/>
          <w:szCs w:val="27"/>
        </w:rPr>
        <w:t>».</w:t>
      </w:r>
    </w:p>
    <w:p w:rsidR="00FB41DE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3671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3671C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2. </w:t>
      </w:r>
      <w:proofErr w:type="gramStart"/>
      <w:r w:rsidRPr="00D3671C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D3671C">
        <w:rPr>
          <w:sz w:val="27"/>
          <w:szCs w:val="27"/>
        </w:rPr>
        <w:t xml:space="preserve"> Новосибирска от 20.06.2018 №</w:t>
      </w:r>
      <w:r w:rsidR="000D5580" w:rsidRPr="00D3671C">
        <w:rPr>
          <w:sz w:val="27"/>
          <w:szCs w:val="27"/>
        </w:rPr>
        <w:t> </w:t>
      </w:r>
      <w:r w:rsidRPr="00D3671C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D3671C" w:rsidRDefault="003E6218" w:rsidP="00BA783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D3671C">
        <w:rPr>
          <w:sz w:val="27"/>
          <w:szCs w:val="27"/>
        </w:rPr>
        <w:t>. </w:t>
      </w:r>
      <w:r>
        <w:rPr>
          <w:sz w:val="27"/>
          <w:szCs w:val="27"/>
        </w:rPr>
        <w:t>Отказать в п</w:t>
      </w:r>
      <w:r w:rsidR="00415D73" w:rsidRPr="00D3671C">
        <w:rPr>
          <w:sz w:val="27"/>
          <w:szCs w:val="27"/>
        </w:rPr>
        <w:t>редостав</w:t>
      </w:r>
      <w:r>
        <w:rPr>
          <w:sz w:val="27"/>
          <w:szCs w:val="27"/>
        </w:rPr>
        <w:t>лении</w:t>
      </w:r>
      <w:r w:rsidR="00415D73" w:rsidRPr="00D3671C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я</w:t>
      </w:r>
      <w:r w:rsidR="00415D73" w:rsidRPr="00D3671C">
        <w:rPr>
          <w:sz w:val="27"/>
          <w:szCs w:val="27"/>
        </w:rPr>
        <w:t xml:space="preserve"> </w:t>
      </w:r>
      <w:r w:rsidR="00432403" w:rsidRPr="00432403">
        <w:rPr>
          <w:sz w:val="27"/>
          <w:szCs w:val="27"/>
        </w:rPr>
        <w:t>К</w:t>
      </w:r>
      <w:r w:rsidR="00432403">
        <w:rPr>
          <w:sz w:val="27"/>
          <w:szCs w:val="27"/>
        </w:rPr>
        <w:t xml:space="preserve">арнауховой В. А., </w:t>
      </w:r>
      <w:proofErr w:type="spellStart"/>
      <w:r w:rsidR="00432403">
        <w:rPr>
          <w:sz w:val="27"/>
          <w:szCs w:val="27"/>
        </w:rPr>
        <w:t>Першик</w:t>
      </w:r>
      <w:r w:rsidR="00432403">
        <w:rPr>
          <w:sz w:val="27"/>
          <w:szCs w:val="27"/>
        </w:rPr>
        <w:t>о</w:t>
      </w:r>
      <w:r w:rsidR="00432403">
        <w:rPr>
          <w:sz w:val="27"/>
          <w:szCs w:val="27"/>
        </w:rPr>
        <w:t>вой</w:t>
      </w:r>
      <w:proofErr w:type="spellEnd"/>
      <w:r w:rsidR="00432403">
        <w:rPr>
          <w:sz w:val="27"/>
          <w:szCs w:val="27"/>
        </w:rPr>
        <w:t> Р. </w:t>
      </w:r>
      <w:r w:rsidR="00432403" w:rsidRPr="00432403">
        <w:rPr>
          <w:sz w:val="27"/>
          <w:szCs w:val="27"/>
        </w:rPr>
        <w:t xml:space="preserve">И., Танковой Е. В., Давыдовой Н. А., Попову П. И., Пичугиной З. К., Виноградовой Е. В., </w:t>
      </w:r>
      <w:proofErr w:type="spellStart"/>
      <w:r w:rsidR="00432403" w:rsidRPr="00432403">
        <w:rPr>
          <w:sz w:val="27"/>
          <w:szCs w:val="27"/>
        </w:rPr>
        <w:t>Буяновской</w:t>
      </w:r>
      <w:proofErr w:type="spellEnd"/>
      <w:r w:rsidR="00432403" w:rsidRPr="00432403">
        <w:rPr>
          <w:sz w:val="27"/>
          <w:szCs w:val="27"/>
        </w:rPr>
        <w:t xml:space="preserve"> И. П. на условно разрешенный вид использования земельного участка с кадастровым номером 54:35:051050:48 площадью 1190 кв. м по адресу: </w:t>
      </w:r>
      <w:proofErr w:type="gramStart"/>
      <w:r w:rsidR="00432403" w:rsidRPr="00432403">
        <w:rPr>
          <w:sz w:val="27"/>
          <w:szCs w:val="27"/>
        </w:rPr>
        <w:t>Российская Федерация, Новосибирская область, город Новосибирск, дачное некоммерческое партнерство «</w:t>
      </w:r>
      <w:proofErr w:type="spellStart"/>
      <w:r w:rsidR="00432403" w:rsidRPr="00432403">
        <w:rPr>
          <w:sz w:val="27"/>
          <w:szCs w:val="27"/>
        </w:rPr>
        <w:t>Тулинское</w:t>
      </w:r>
      <w:proofErr w:type="spellEnd"/>
      <w:r w:rsidR="00432403" w:rsidRPr="00432403">
        <w:rPr>
          <w:sz w:val="27"/>
          <w:szCs w:val="27"/>
        </w:rPr>
        <w:t xml:space="preserve"> заречье», участок № 132 и объекта кап</w:t>
      </w:r>
      <w:r w:rsidR="00432403" w:rsidRPr="00432403">
        <w:rPr>
          <w:sz w:val="27"/>
          <w:szCs w:val="27"/>
        </w:rPr>
        <w:t>и</w:t>
      </w:r>
      <w:r w:rsidR="00432403" w:rsidRPr="00432403">
        <w:rPr>
          <w:sz w:val="27"/>
          <w:szCs w:val="27"/>
        </w:rPr>
        <w:t>тального строительства (зона застройки индивидуальными жилыми домами (Ж-6) – «блокированная жилая застройка (2.3) – жилые дома блокированной застройки»</w:t>
      </w:r>
      <w:r w:rsidR="00BA7835">
        <w:rPr>
          <w:sz w:val="27"/>
          <w:szCs w:val="27"/>
        </w:rPr>
        <w:t xml:space="preserve"> </w:t>
      </w:r>
      <w:r w:rsidR="00BA7835" w:rsidRPr="00BA7835">
        <w:rPr>
          <w:sz w:val="27"/>
          <w:szCs w:val="27"/>
        </w:rPr>
        <w:t>в связи с несоблюдением требований Градостроительного кодекса Российской Фед</w:t>
      </w:r>
      <w:r w:rsidR="00BA7835" w:rsidRPr="00BA7835">
        <w:rPr>
          <w:sz w:val="27"/>
          <w:szCs w:val="27"/>
        </w:rPr>
        <w:t>е</w:t>
      </w:r>
      <w:r w:rsidR="00BA7835" w:rsidRPr="00BA7835">
        <w:rPr>
          <w:sz w:val="27"/>
          <w:szCs w:val="27"/>
        </w:rPr>
        <w:t>рации (установление факта строительства объекта капитального строительства в отсутствие разрешения на строите</w:t>
      </w:r>
      <w:r w:rsidR="00BA7835">
        <w:rPr>
          <w:sz w:val="27"/>
          <w:szCs w:val="27"/>
        </w:rPr>
        <w:t>льство (самовольная постройка)),</w:t>
      </w:r>
      <w:r w:rsidR="00BA7835" w:rsidRPr="00BA7835">
        <w:rPr>
          <w:sz w:val="27"/>
          <w:szCs w:val="27"/>
        </w:rPr>
        <w:t xml:space="preserve"> части 24 статьи 54 Федерального закона от</w:t>
      </w:r>
      <w:proofErr w:type="gramEnd"/>
      <w:r w:rsidR="00BA7835" w:rsidRPr="00BA7835">
        <w:rPr>
          <w:sz w:val="27"/>
          <w:szCs w:val="27"/>
        </w:rPr>
        <w:t xml:space="preserve"> </w:t>
      </w:r>
      <w:proofErr w:type="gramStart"/>
      <w:r w:rsidR="00BA7835" w:rsidRPr="00BA7835">
        <w:rPr>
          <w:sz w:val="27"/>
          <w:szCs w:val="27"/>
        </w:rPr>
        <w:t>29.07.2017 № 217-ФЗ «О ведении гражданами садоводс</w:t>
      </w:r>
      <w:r w:rsidR="00BA7835" w:rsidRPr="00BA7835">
        <w:rPr>
          <w:sz w:val="27"/>
          <w:szCs w:val="27"/>
        </w:rPr>
        <w:t>т</w:t>
      </w:r>
      <w:r w:rsidR="00BA7835" w:rsidRPr="00BA7835">
        <w:rPr>
          <w:sz w:val="27"/>
          <w:szCs w:val="27"/>
        </w:rPr>
        <w:t>ва и огородничества для собственных нужд и о внесении изменений в отдельные законодательные акты Российской Федерации», пункта 2 части 1 статьи 36 Правил землепользования и застройки города Новосибирска, утвержденных решением Сов</w:t>
      </w:r>
      <w:r w:rsidR="00BA7835" w:rsidRPr="00BA7835">
        <w:rPr>
          <w:sz w:val="27"/>
          <w:szCs w:val="27"/>
        </w:rPr>
        <w:t>е</w:t>
      </w:r>
      <w:r w:rsidR="00BA7835" w:rsidRPr="00BA7835">
        <w:rPr>
          <w:sz w:val="27"/>
          <w:szCs w:val="27"/>
        </w:rPr>
        <w:t>та депутатов города Новосибирска от 24.06.2009 № 1288 (размер земельного участка больше установленного предельного максимального размера земельного участка с видом разрешенного использования «блокированная жилая застройка (2.3)»)</w:t>
      </w:r>
      <w:r w:rsidR="00BA7835">
        <w:rPr>
          <w:sz w:val="27"/>
          <w:szCs w:val="27"/>
        </w:rPr>
        <w:t>.</w:t>
      </w:r>
      <w:proofErr w:type="gramEnd"/>
    </w:p>
    <w:p w:rsidR="00F164A2" w:rsidRPr="00D3671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D367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3671C" w:rsidTr="009C7B8D">
        <w:tc>
          <w:tcPr>
            <w:tcW w:w="5211" w:type="dxa"/>
          </w:tcPr>
          <w:p w:rsidR="00F164A2" w:rsidRPr="00D3671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З</w:t>
            </w:r>
            <w:r w:rsidR="00377BBE" w:rsidRPr="00D3671C">
              <w:rPr>
                <w:sz w:val="27"/>
                <w:szCs w:val="27"/>
              </w:rPr>
              <w:t>аместител</w:t>
            </w:r>
            <w:r w:rsidRPr="00D3671C">
              <w:rPr>
                <w:sz w:val="27"/>
                <w:szCs w:val="27"/>
              </w:rPr>
              <w:t>ь</w:t>
            </w:r>
            <w:r w:rsidR="00F164A2" w:rsidRPr="00D3671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В</w:t>
            </w:r>
            <w:r w:rsidR="00704180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Н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Столбов</w:t>
            </w:r>
          </w:p>
        </w:tc>
      </w:tr>
      <w:tr w:rsidR="00F164A2" w:rsidRPr="00D3671C" w:rsidTr="009C7B8D">
        <w:tc>
          <w:tcPr>
            <w:tcW w:w="5211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D3671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И.о. с</w:t>
            </w:r>
            <w:r w:rsidR="00B12FC5" w:rsidRPr="00D3671C">
              <w:rPr>
                <w:sz w:val="27"/>
                <w:szCs w:val="27"/>
              </w:rPr>
              <w:t>екретар</w:t>
            </w:r>
            <w:r w:rsidRPr="00D3671C">
              <w:rPr>
                <w:sz w:val="27"/>
                <w:szCs w:val="27"/>
              </w:rPr>
              <w:t>я</w:t>
            </w:r>
            <w:r w:rsidR="00F164A2" w:rsidRPr="00D3671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М</w:t>
            </w:r>
            <w:r w:rsidR="00BF54C3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А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Котова</w:t>
            </w:r>
          </w:p>
        </w:tc>
      </w:tr>
    </w:tbl>
    <w:p w:rsidR="00783387" w:rsidRPr="00D3671C" w:rsidRDefault="00783387">
      <w:pPr>
        <w:rPr>
          <w:sz w:val="27"/>
          <w:szCs w:val="27"/>
        </w:rPr>
      </w:pPr>
    </w:p>
    <w:sectPr w:rsidR="00783387" w:rsidRPr="00D3671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96" w:rsidRDefault="00AA6B96" w:rsidP="00AA2F13">
      <w:r>
        <w:separator/>
      </w:r>
    </w:p>
  </w:endnote>
  <w:endnote w:type="continuationSeparator" w:id="0">
    <w:p w:rsidR="00AA6B96" w:rsidRDefault="00AA6B9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96" w:rsidRDefault="00AA6B96" w:rsidP="00AA2F13">
      <w:r>
        <w:separator/>
      </w:r>
    </w:p>
  </w:footnote>
  <w:footnote w:type="continuationSeparator" w:id="0">
    <w:p w:rsidR="00AA6B96" w:rsidRDefault="00AA6B9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851C1">
    <w:pPr>
      <w:pStyle w:val="a8"/>
      <w:jc w:val="center"/>
    </w:pPr>
    <w:fldSimple w:instr=" PAGE   \* MERGEFORMAT ">
      <w:r w:rsidR="00BA7835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1364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974C5"/>
    <w:rsid w:val="001A11A3"/>
    <w:rsid w:val="001A1883"/>
    <w:rsid w:val="001B0D2C"/>
    <w:rsid w:val="001B104C"/>
    <w:rsid w:val="001B33EE"/>
    <w:rsid w:val="001D04F4"/>
    <w:rsid w:val="001E491B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218"/>
    <w:rsid w:val="003E6998"/>
    <w:rsid w:val="003E7AF7"/>
    <w:rsid w:val="003F3B58"/>
    <w:rsid w:val="003F5DF2"/>
    <w:rsid w:val="003F6BD0"/>
    <w:rsid w:val="004070A5"/>
    <w:rsid w:val="00407C47"/>
    <w:rsid w:val="004133CB"/>
    <w:rsid w:val="00415D73"/>
    <w:rsid w:val="00420284"/>
    <w:rsid w:val="00425DBA"/>
    <w:rsid w:val="004304B1"/>
    <w:rsid w:val="00432403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51C1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7B8D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A6B96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A7835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3671C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E6B89-106D-400D-936E-F907EB5A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2019-11-18T08:56:00Z</dcterms:created>
  <dcterms:modified xsi:type="dcterms:W3CDTF">2019-11-18T08:56:00Z</dcterms:modified>
</cp:coreProperties>
</file>