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34B2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976"/>
      </w:tblGrid>
      <w:tr w:rsidR="00830C3B" w:rsidRPr="008A29F3" w:rsidTr="00024951">
        <w:trPr>
          <w:trHeight w:val="899"/>
        </w:trPr>
        <w:tc>
          <w:tcPr>
            <w:tcW w:w="6976" w:type="dxa"/>
          </w:tcPr>
          <w:p w:rsidR="00830C3B" w:rsidRPr="008A29F3" w:rsidRDefault="00DE6383" w:rsidP="00DE79A0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DE79A0" w:rsidRPr="00A478EE">
              <w:t>Мелоян</w:t>
            </w:r>
            <w:proofErr w:type="spellEnd"/>
            <w:r w:rsidR="00DE79A0" w:rsidRPr="00A478EE">
              <w:t xml:space="preserve"> Т. О.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3D7252" w:rsidRPr="00480E79" w:rsidRDefault="00024951" w:rsidP="003D7252">
      <w:pPr>
        <w:ind w:firstLine="709"/>
        <w:jc w:val="both"/>
      </w:pPr>
      <w:r>
        <w:rPr>
          <w:color w:val="000000" w:themeColor="text1"/>
        </w:rPr>
        <w:t>1. 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proofErr w:type="spellStart"/>
      <w:r w:rsidR="00DE79A0" w:rsidRPr="00DE79A0">
        <w:rPr>
          <w:color w:val="000000" w:themeColor="text1"/>
        </w:rPr>
        <w:t>Мелоян</w:t>
      </w:r>
      <w:proofErr w:type="spellEnd"/>
      <w:r w:rsidR="00DE79A0" w:rsidRPr="00DE79A0">
        <w:rPr>
          <w:color w:val="000000" w:themeColor="text1"/>
        </w:rPr>
        <w:t xml:space="preserve"> Т. О. </w:t>
      </w:r>
      <w:r>
        <w:rPr>
          <w:color w:val="000000" w:themeColor="text1"/>
        </w:rPr>
        <w:t xml:space="preserve">разрешение </w:t>
      </w:r>
      <w:r w:rsidR="00DE79A0" w:rsidRPr="00DE79A0">
        <w:rPr>
          <w:color w:val="000000" w:themeColor="text1"/>
        </w:rPr>
        <w:t>на условно разрешенный вид использования земельного участка с кадастровым номером 54:35:064365:</w:t>
      </w:r>
      <w:r w:rsidR="00DE79A0">
        <w:rPr>
          <w:color w:val="000000" w:themeColor="text1"/>
        </w:rPr>
        <w:t>6 площадью 1000 кв. м с местопо</w:t>
      </w:r>
      <w:r w:rsidR="00DE79A0" w:rsidRPr="00DE79A0">
        <w:rPr>
          <w:color w:val="000000" w:themeColor="text1"/>
        </w:rPr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</w:t>
      </w:r>
      <w:r>
        <w:rPr>
          <w:color w:val="000000" w:themeColor="text1"/>
        </w:rPr>
        <w:t> </w:t>
      </w:r>
      <w:r w:rsidR="00DE79A0" w:rsidRPr="00DE79A0">
        <w:rPr>
          <w:color w:val="000000" w:themeColor="text1"/>
        </w:rPr>
        <w:t>Стартовая, 6, и объекта капитального строительства (зона улично-дорожной сети (ИТ-3))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разместить постановление на официальном сайте города Новосибирска </w:t>
      </w:r>
      <w:proofErr w:type="gramStart"/>
      <w:r w:rsidR="00FE2272" w:rsidRPr="008A29F3">
        <w:t>в</w:t>
      </w:r>
      <w:proofErr w:type="gramEnd"/>
      <w:r w:rsidR="00FE2272" w:rsidRPr="008A29F3">
        <w:t xml:space="preserve">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34B2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2495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34B26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344D8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E79A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04BEC-C83F-4A86-8BB8-C577339A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5</TotalTime>
  <Pages>1</Pages>
  <Words>216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7</cp:revision>
  <cp:lastPrinted>2020-02-25T03:17:00Z</cp:lastPrinted>
  <dcterms:created xsi:type="dcterms:W3CDTF">2020-11-02T10:17:00Z</dcterms:created>
  <dcterms:modified xsi:type="dcterms:W3CDTF">2020-12-22T05:28:00Z</dcterms:modified>
</cp:coreProperties>
</file>