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D227DA">
        <w:rPr>
          <w:spacing w:val="1"/>
          <w:sz w:val="28"/>
          <w:szCs w:val="28"/>
        </w:rPr>
        <w:t>м</w:t>
      </w:r>
      <w:r w:rsidR="00D04C91" w:rsidRPr="00641ACE">
        <w:rPr>
          <w:spacing w:val="1"/>
          <w:sz w:val="28"/>
          <w:szCs w:val="28"/>
        </w:rPr>
        <w:t xml:space="preserve">естной православной религиозной организации «Приход храма во имя святого великомученика Георгия Победоносца </w:t>
      </w:r>
      <w:proofErr w:type="gramStart"/>
      <w:r w:rsidR="00D04C91" w:rsidRPr="00641ACE">
        <w:rPr>
          <w:spacing w:val="1"/>
          <w:sz w:val="28"/>
          <w:szCs w:val="28"/>
        </w:rPr>
        <w:t>г</w:t>
      </w:r>
      <w:proofErr w:type="gramEnd"/>
      <w:r w:rsidR="00D04C91" w:rsidRPr="00641ACE">
        <w:rPr>
          <w:spacing w:val="1"/>
          <w:sz w:val="28"/>
          <w:szCs w:val="28"/>
        </w:rPr>
        <w:t>. Новосибирска (Центральный район) Новосибирской Епархии Русской Православной Церкви (Московский Патриархат)»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431F" w:rsidRDefault="007F608B" w:rsidP="00F456F2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4431F">
        <w:rPr>
          <w:spacing w:val="1"/>
          <w:sz w:val="28"/>
          <w:szCs w:val="28"/>
        </w:rPr>
        <w:t>«</w:t>
      </w:r>
      <w:r w:rsidR="00641ACE" w:rsidRPr="00641ACE">
        <w:rPr>
          <w:spacing w:val="1"/>
          <w:sz w:val="28"/>
          <w:szCs w:val="28"/>
        </w:rPr>
        <w:t xml:space="preserve">Местной православной религиозной организации «Приход храма во имя святого великомученика Георгия Победоносца </w:t>
      </w:r>
      <w:proofErr w:type="gramStart"/>
      <w:r w:rsidR="00641ACE" w:rsidRPr="00641ACE">
        <w:rPr>
          <w:spacing w:val="1"/>
          <w:sz w:val="28"/>
          <w:szCs w:val="28"/>
        </w:rPr>
        <w:t>г</w:t>
      </w:r>
      <w:proofErr w:type="gramEnd"/>
      <w:r w:rsidR="00641ACE" w:rsidRPr="00641ACE">
        <w:rPr>
          <w:spacing w:val="1"/>
          <w:sz w:val="28"/>
          <w:szCs w:val="28"/>
        </w:rPr>
        <w:t xml:space="preserve">. Новосибирска (Центральный район) Новосибирской Епархии Русской Православной Церкви (Московский Патриархат)» (на основании заявления в связи с тем, что наличие инженерных сетей является неблагоприятным для застройки, а также с необходимостью соблюдения противопожарных и санитарно-защитных разрывов) в части уменьшения предельного минимального количества машино-мест для стоянок индивидуальных транспортных средств с 30 машино-мест до 7 машино-мест в границах земельного участка с кадастровым номером 54:35:033410:357 площадью, 3195 га, расположенного по адресу: Российская Федерация, Новосибирская область, город Новосибирск, ул. </w:t>
      </w:r>
      <w:proofErr w:type="spellStart"/>
      <w:r w:rsidR="00641ACE" w:rsidRPr="00641ACE">
        <w:rPr>
          <w:spacing w:val="1"/>
          <w:sz w:val="28"/>
          <w:szCs w:val="28"/>
        </w:rPr>
        <w:t>Красногорская</w:t>
      </w:r>
      <w:proofErr w:type="spellEnd"/>
      <w:r w:rsidR="00641ACE" w:rsidRPr="00641ACE">
        <w:rPr>
          <w:spacing w:val="1"/>
          <w:sz w:val="28"/>
          <w:szCs w:val="28"/>
        </w:rPr>
        <w:t xml:space="preserve"> (зона объектов среднего профессионального и высшего образования, научно-исследовательских организаций (ОД-2))</w:t>
      </w:r>
      <w:r w:rsidR="00B9584A">
        <w:rPr>
          <w:sz w:val="28"/>
          <w:szCs w:val="28"/>
        </w:rPr>
        <w:t>».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30419B" w:rsidP="00C62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</w:t>
            </w:r>
            <w:r w:rsidRPr="00BC4A3E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456F2" w:rsidRPr="006B5508">
        <w:rPr>
          <w:sz w:val="28"/>
          <w:szCs w:val="28"/>
        </w:rPr>
        <w:t>14.11.2018 № 4095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8E06D2">
        <w:rPr>
          <w:spacing w:val="1"/>
          <w:sz w:val="28"/>
          <w:szCs w:val="28"/>
        </w:rPr>
        <w:t>№</w:t>
      </w:r>
      <w:r w:rsidR="00F456F2" w:rsidRPr="000D0F22">
        <w:rPr>
          <w:spacing w:val="1"/>
          <w:sz w:val="28"/>
          <w:szCs w:val="28"/>
        </w:rPr>
        <w:t> </w:t>
      </w:r>
      <w:r w:rsidR="00F456F2">
        <w:rPr>
          <w:spacing w:val="1"/>
          <w:sz w:val="28"/>
          <w:szCs w:val="28"/>
        </w:rPr>
        <w:t>46</w:t>
      </w:r>
      <w:r w:rsidR="00F456F2" w:rsidRPr="008E06D2">
        <w:rPr>
          <w:spacing w:val="1"/>
          <w:sz w:val="28"/>
          <w:szCs w:val="28"/>
        </w:rPr>
        <w:t xml:space="preserve"> от </w:t>
      </w:r>
      <w:r w:rsidR="00F456F2">
        <w:rPr>
          <w:spacing w:val="1"/>
          <w:sz w:val="28"/>
          <w:szCs w:val="28"/>
        </w:rPr>
        <w:t>15.11</w:t>
      </w:r>
      <w:r w:rsidR="00F456F2"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</w:t>
      </w:r>
      <w:r w:rsidRPr="008E06D2">
        <w:rPr>
          <w:spacing w:val="1"/>
          <w:sz w:val="28"/>
          <w:szCs w:val="28"/>
        </w:rPr>
        <w:lastRenderedPageBreak/>
        <w:t xml:space="preserve">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F456F2">
        <w:rPr>
          <w:spacing w:val="1"/>
          <w:sz w:val="28"/>
          <w:szCs w:val="28"/>
        </w:rPr>
        <w:t>15.11.2018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F713C0" w:rsidRPr="003C19BF">
        <w:rPr>
          <w:sz w:val="28"/>
          <w:szCs w:val="28"/>
        </w:rPr>
        <w:t>вноси</w:t>
      </w:r>
      <w:r w:rsidR="00AB7424">
        <w:rPr>
          <w:sz w:val="28"/>
          <w:szCs w:val="28"/>
        </w:rPr>
        <w:t>ли</w:t>
      </w:r>
      <w:r w:rsidR="00F713C0">
        <w:rPr>
          <w:sz w:val="28"/>
          <w:szCs w:val="28"/>
        </w:rPr>
        <w:t xml:space="preserve"> </w:t>
      </w:r>
      <w:r w:rsidRPr="00F713C0">
        <w:rPr>
          <w:sz w:val="28"/>
          <w:szCs w:val="28"/>
        </w:rPr>
        <w:t>предложения</w:t>
      </w:r>
      <w:r w:rsidRPr="003C19BF">
        <w:rPr>
          <w:sz w:val="28"/>
          <w:szCs w:val="28"/>
        </w:rPr>
        <w:t xml:space="preserve"> и </w:t>
      </w:r>
      <w:r w:rsidRPr="00C62C4C">
        <w:rPr>
          <w:sz w:val="28"/>
          <w:szCs w:val="28"/>
        </w:rPr>
        <w:t>замечания</w:t>
      </w:r>
      <w:r w:rsidR="0077474F" w:rsidRPr="00C62C4C">
        <w:rPr>
          <w:spacing w:val="1"/>
          <w:sz w:val="28"/>
          <w:szCs w:val="28"/>
        </w:rPr>
        <w:t xml:space="preserve"> - с </w:t>
      </w:r>
      <w:r w:rsidR="00F456F2">
        <w:rPr>
          <w:spacing w:val="1"/>
          <w:sz w:val="28"/>
          <w:szCs w:val="28"/>
        </w:rPr>
        <w:t>23.11</w:t>
      </w:r>
      <w:r w:rsidR="00F456F2" w:rsidRPr="00C62C4C">
        <w:rPr>
          <w:spacing w:val="1"/>
          <w:sz w:val="28"/>
          <w:szCs w:val="28"/>
        </w:rPr>
        <w:t xml:space="preserve">.2018 по </w:t>
      </w:r>
      <w:r w:rsidR="00F456F2">
        <w:rPr>
          <w:spacing w:val="1"/>
          <w:sz w:val="28"/>
          <w:szCs w:val="28"/>
        </w:rPr>
        <w:t>02.12</w:t>
      </w:r>
      <w:r w:rsidR="00F456F2" w:rsidRPr="00C62C4C">
        <w:rPr>
          <w:spacing w:val="1"/>
          <w:sz w:val="28"/>
          <w:szCs w:val="28"/>
        </w:rPr>
        <w:t>.2018</w:t>
      </w:r>
      <w:r w:rsidRPr="00C62C4C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F713C0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– </w:t>
      </w:r>
      <w:r w:rsidR="0083358C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F456F2">
        <w:rPr>
          <w:spacing w:val="1"/>
          <w:sz w:val="28"/>
          <w:szCs w:val="28"/>
        </w:rPr>
        <w:t>3</w:t>
      </w:r>
      <w:r w:rsidRPr="00642D46">
        <w:rPr>
          <w:spacing w:val="1"/>
          <w:sz w:val="28"/>
          <w:szCs w:val="28"/>
        </w:rPr>
        <w:t xml:space="preserve">-ОПП от </w:t>
      </w:r>
      <w:r w:rsidR="0030419B">
        <w:rPr>
          <w:spacing w:val="1"/>
          <w:sz w:val="28"/>
          <w:szCs w:val="28"/>
        </w:rPr>
        <w:t>05.12</w:t>
      </w:r>
      <w:r w:rsidR="0030419B" w:rsidRPr="00BC4A3E">
        <w:rPr>
          <w:spacing w:val="1"/>
          <w:sz w:val="28"/>
          <w:szCs w:val="28"/>
        </w:rPr>
        <w:t>.2018</w:t>
      </w:r>
      <w:r w:rsidRPr="00642D46"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 w:rsidR="006D7EFE" w:rsidRPr="006D7EFE">
        <w:rPr>
          <w:spacing w:val="1"/>
          <w:sz w:val="28"/>
          <w:szCs w:val="28"/>
        </w:rPr>
        <w:t xml:space="preserve"> </w:t>
      </w:r>
      <w:r w:rsidR="006D7EFE">
        <w:rPr>
          <w:spacing w:val="1"/>
          <w:sz w:val="28"/>
          <w:szCs w:val="28"/>
        </w:rPr>
        <w:t>(с</w:t>
      </w:r>
      <w:r w:rsidR="006D7EFE" w:rsidRPr="00D01431">
        <w:rPr>
          <w:spacing w:val="1"/>
          <w:sz w:val="28"/>
          <w:szCs w:val="28"/>
        </w:rPr>
        <w:t>одержание предложений и замечаний приведено в редакции участников общественных обсуждени</w:t>
      </w:r>
      <w:r w:rsidR="006D7EFE" w:rsidRPr="0098502D">
        <w:rPr>
          <w:spacing w:val="1"/>
          <w:sz w:val="28"/>
          <w:szCs w:val="28"/>
        </w:rPr>
        <w:t>й)</w:t>
      </w:r>
      <w:r w:rsidRPr="0098502D">
        <w:rPr>
          <w:spacing w:val="1"/>
          <w:sz w:val="28"/>
          <w:szCs w:val="28"/>
        </w:rPr>
        <w:t>:</w:t>
      </w:r>
    </w:p>
    <w:p w:rsidR="00430231" w:rsidRDefault="00C74A8F" w:rsidP="00495FEB">
      <w:pPr>
        <w:ind w:firstLine="709"/>
        <w:jc w:val="both"/>
        <w:rPr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D9650E">
        <w:rPr>
          <w:b/>
          <w:spacing w:val="1"/>
          <w:sz w:val="28"/>
          <w:szCs w:val="28"/>
        </w:rPr>
        <w:t>:</w:t>
      </w:r>
      <w:r w:rsidR="00F713C0">
        <w:rPr>
          <w:b/>
          <w:spacing w:val="1"/>
          <w:sz w:val="28"/>
          <w:szCs w:val="28"/>
        </w:rPr>
        <w:t xml:space="preserve"> </w:t>
      </w:r>
      <w:r w:rsidR="00F713C0" w:rsidRPr="00F713C0">
        <w:rPr>
          <w:spacing w:val="1"/>
          <w:sz w:val="28"/>
          <w:szCs w:val="28"/>
        </w:rPr>
        <w:t>не поступали</w:t>
      </w:r>
      <w:r w:rsidR="00F713C0" w:rsidRPr="003B17A5">
        <w:rPr>
          <w:spacing w:val="1"/>
          <w:sz w:val="28"/>
          <w:szCs w:val="28"/>
        </w:rPr>
        <w:t>.</w:t>
      </w:r>
      <w:proofErr w:type="gramEnd"/>
    </w:p>
    <w:p w:rsidR="00C74A8F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E0A43">
        <w:rPr>
          <w:spacing w:val="1"/>
          <w:sz w:val="28"/>
          <w:szCs w:val="28"/>
        </w:rPr>
        <w:t>:</w:t>
      </w:r>
    </w:p>
    <w:p w:rsidR="003917CC" w:rsidRDefault="004E0A43" w:rsidP="00C74A8F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2.1. От </w:t>
      </w:r>
      <w:r w:rsidRPr="00641ACE">
        <w:rPr>
          <w:spacing w:val="1"/>
          <w:sz w:val="28"/>
          <w:szCs w:val="28"/>
        </w:rPr>
        <w:t>религиозной организации «</w:t>
      </w:r>
      <w:r w:rsidRPr="004E0A43">
        <w:rPr>
          <w:spacing w:val="1"/>
          <w:sz w:val="28"/>
          <w:szCs w:val="28"/>
        </w:rPr>
        <w:t>Новосибирская Епархия Русской Православной Церкви (Московский Патриархат)</w:t>
      </w:r>
      <w:r w:rsidRPr="00641ACE">
        <w:rPr>
          <w:spacing w:val="1"/>
          <w:sz w:val="28"/>
          <w:szCs w:val="28"/>
        </w:rPr>
        <w:t>»</w:t>
      </w:r>
      <w:r w:rsidRPr="004E0A43">
        <w:rPr>
          <w:sz w:val="28"/>
          <w:szCs w:val="28"/>
        </w:rPr>
        <w:t xml:space="preserve"> </w:t>
      </w:r>
      <w:r w:rsidRPr="00F713C0">
        <w:rPr>
          <w:sz w:val="28"/>
          <w:szCs w:val="28"/>
        </w:rPr>
        <w:t xml:space="preserve">в комиссию поступило предложение </w:t>
      </w:r>
      <w:r w:rsidRPr="00F713C0">
        <w:rPr>
          <w:spacing w:val="1"/>
          <w:sz w:val="28"/>
          <w:szCs w:val="28"/>
        </w:rPr>
        <w:t xml:space="preserve">в </w:t>
      </w:r>
      <w:r w:rsidRPr="00F713C0">
        <w:rPr>
          <w:sz w:val="28"/>
          <w:szCs w:val="28"/>
        </w:rPr>
        <w:t xml:space="preserve">письменной форме – иллюстрация </w:t>
      </w:r>
      <w:r>
        <w:rPr>
          <w:sz w:val="28"/>
          <w:szCs w:val="28"/>
        </w:rPr>
        <w:t>1</w:t>
      </w:r>
      <w:r w:rsidRPr="00F713C0">
        <w:rPr>
          <w:sz w:val="28"/>
          <w:szCs w:val="28"/>
        </w:rPr>
        <w:t>.</w:t>
      </w:r>
    </w:p>
    <w:p w:rsidR="00F713C0" w:rsidRDefault="007F1825" w:rsidP="00A9471A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938026" cy="5750169"/>
            <wp:effectExtent l="19050" t="0" r="5324" b="0"/>
            <wp:docPr id="1" name="Рисунок 1" descr="C:\Users\tsilacheva\Desktop\ПАРАМЕТРЫ  из общей\0_ПС 2018\03. ОО 15.11.2018_13.12.2018\Сканы предложений участников\1.21. Храм_Геор_Побед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ilacheva\Desktop\ПАРАМЕТРЫ  из общей\0_ПС 2018\03. ОО 15.11.2018_13.12.2018\Сканы предложений участников\1.21. Храм_Геор_Побед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694" t="4490" r="6627" b="6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026" cy="575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3C0" w:rsidRDefault="007F1825" w:rsidP="00F713C0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26901" cy="3412081"/>
            <wp:effectExtent l="19050" t="0" r="2149" b="0"/>
            <wp:docPr id="2" name="Рисунок 2" descr="C:\Users\tsilacheva\Desktop\ПАРАМЕТРЫ  из общей\0_ПС 2018\03. ОО 15.11.2018_13.12.2018\Сканы предложений участников\1.21. Храм_Геор_Побед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ilacheva\Desktop\ПАРАМЕТРЫ  из общей\0_ПС 2018\03. ОО 15.11.2018_13.12.2018\Сканы предложений участников\1.21. Храм_Геор_Побед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466" t="4147" r="9376" b="42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901" cy="341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3C0" w:rsidRDefault="00F713C0" w:rsidP="00F713C0">
      <w:pPr>
        <w:ind w:firstLine="709"/>
        <w:jc w:val="center"/>
        <w:rPr>
          <w:sz w:val="28"/>
          <w:szCs w:val="28"/>
        </w:rPr>
      </w:pPr>
      <w:r w:rsidRPr="0083358C">
        <w:rPr>
          <w:sz w:val="28"/>
          <w:szCs w:val="28"/>
        </w:rPr>
        <w:t xml:space="preserve">иллюстрация </w:t>
      </w:r>
      <w:r w:rsidR="003917CC">
        <w:rPr>
          <w:sz w:val="28"/>
          <w:szCs w:val="28"/>
        </w:rPr>
        <w:t xml:space="preserve">1 </w:t>
      </w:r>
    </w:p>
    <w:p w:rsidR="00F713C0" w:rsidRDefault="00F713C0" w:rsidP="00F713C0">
      <w:pPr>
        <w:ind w:firstLine="708"/>
        <w:jc w:val="center"/>
        <w:rPr>
          <w:color w:val="000000" w:themeColor="text1"/>
          <w:spacing w:val="1"/>
          <w:sz w:val="28"/>
          <w:szCs w:val="28"/>
        </w:rPr>
      </w:pPr>
    </w:p>
    <w:p w:rsidR="00A9471A" w:rsidRDefault="00A9471A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</w:p>
    <w:p w:rsidR="00345B0F" w:rsidRPr="00BA57A5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A57A5">
        <w:rPr>
          <w:b/>
          <w:spacing w:val="1"/>
          <w:sz w:val="28"/>
          <w:szCs w:val="28"/>
        </w:rPr>
        <w:lastRenderedPageBreak/>
        <w:t>Предложения экспертов:</w:t>
      </w:r>
    </w:p>
    <w:p w:rsidR="00C734C0" w:rsidRPr="00F456F2" w:rsidRDefault="001651EC" w:rsidP="00345B0F">
      <w:pPr>
        <w:suppressAutoHyphens/>
        <w:ind w:firstLine="708"/>
        <w:jc w:val="both"/>
        <w:rPr>
          <w:sz w:val="28"/>
          <w:szCs w:val="28"/>
          <w:highlight w:val="yellow"/>
        </w:rPr>
      </w:pPr>
      <w:r w:rsidRPr="004F6EC8">
        <w:rPr>
          <w:sz w:val="28"/>
          <w:szCs w:val="28"/>
        </w:rPr>
        <w:t xml:space="preserve">От эксперта </w:t>
      </w:r>
      <w:proofErr w:type="spellStart"/>
      <w:r w:rsidRPr="004F6EC8">
        <w:rPr>
          <w:sz w:val="28"/>
          <w:szCs w:val="28"/>
        </w:rPr>
        <w:t>Бодрова</w:t>
      </w:r>
      <w:proofErr w:type="spellEnd"/>
      <w:r w:rsidRPr="004F6EC8">
        <w:rPr>
          <w:sz w:val="28"/>
          <w:szCs w:val="28"/>
        </w:rPr>
        <w:t> А. О. - директора общества с ограниченной ответственностью «КБ Меридиан»</w:t>
      </w:r>
      <w:r w:rsidR="00345B0F" w:rsidRPr="001651EC">
        <w:rPr>
          <w:sz w:val="28"/>
          <w:szCs w:val="28"/>
        </w:rPr>
        <w:t xml:space="preserve">, от эксперта </w:t>
      </w:r>
      <w:proofErr w:type="spellStart"/>
      <w:r w:rsidR="00345B0F" w:rsidRPr="001651EC">
        <w:rPr>
          <w:sz w:val="28"/>
          <w:szCs w:val="28"/>
        </w:rPr>
        <w:t>Носкова</w:t>
      </w:r>
      <w:proofErr w:type="spellEnd"/>
      <w:r w:rsidR="00345B0F" w:rsidRPr="001651EC">
        <w:rPr>
          <w:sz w:val="28"/>
          <w:szCs w:val="28"/>
        </w:rPr>
        <w:t xml:space="preserve"> Д. В. – директора муниципального </w:t>
      </w:r>
      <w:r w:rsidR="00974F8E" w:rsidRPr="001651EC">
        <w:rPr>
          <w:sz w:val="28"/>
          <w:szCs w:val="28"/>
        </w:rPr>
        <w:t>бюджетного учреждения</w:t>
      </w:r>
      <w:r w:rsidR="00345B0F" w:rsidRPr="001651EC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="00345B0F" w:rsidRPr="00F456F2">
        <w:rPr>
          <w:sz w:val="28"/>
          <w:szCs w:val="28"/>
          <w:highlight w:val="yellow"/>
        </w:rPr>
        <w:t xml:space="preserve"> </w:t>
      </w:r>
    </w:p>
    <w:p w:rsidR="00C734C0" w:rsidRPr="003307B4" w:rsidRDefault="00F456F2" w:rsidP="00C734C0">
      <w:pPr>
        <w:suppressAutoHyphens/>
        <w:jc w:val="both"/>
        <w:rPr>
          <w:i/>
          <w:spacing w:val="1"/>
          <w:sz w:val="28"/>
          <w:szCs w:val="28"/>
        </w:rPr>
      </w:pPr>
      <w:r w:rsidRPr="00B966FD">
        <w:rPr>
          <w:color w:val="000000"/>
          <w:spacing w:val="1"/>
          <w:sz w:val="28"/>
          <w:szCs w:val="28"/>
        </w:rPr>
        <w:t>«</w:t>
      </w:r>
      <w:r w:rsidRPr="00B966FD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345B0F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2950C3" w:rsidRDefault="00BA57A5" w:rsidP="00641ACE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proofErr w:type="gramStart"/>
      <w:r w:rsidR="00F456F2">
        <w:rPr>
          <w:b/>
          <w:sz w:val="28"/>
          <w:szCs w:val="28"/>
        </w:rPr>
        <w:t>П</w:t>
      </w:r>
      <w:r w:rsidR="003307B4">
        <w:rPr>
          <w:b/>
          <w:sz w:val="28"/>
          <w:szCs w:val="28"/>
        </w:rPr>
        <w:t>редостав</w:t>
      </w:r>
      <w:r w:rsidR="00F456F2">
        <w:rPr>
          <w:b/>
          <w:sz w:val="28"/>
          <w:szCs w:val="28"/>
        </w:rPr>
        <w:t>ить</w:t>
      </w:r>
      <w:r w:rsidR="003307B4">
        <w:rPr>
          <w:b/>
          <w:sz w:val="28"/>
          <w:szCs w:val="28"/>
        </w:rPr>
        <w:t xml:space="preserve"> разрешени</w:t>
      </w:r>
      <w:r w:rsidR="00F456F2">
        <w:rPr>
          <w:b/>
          <w:sz w:val="28"/>
          <w:szCs w:val="28"/>
        </w:rPr>
        <w:t>е</w:t>
      </w:r>
      <w:r w:rsidR="003307B4"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4E2EDF">
        <w:rPr>
          <w:spacing w:val="1"/>
          <w:sz w:val="28"/>
          <w:szCs w:val="28"/>
        </w:rPr>
        <w:t xml:space="preserve"> </w:t>
      </w:r>
      <w:r w:rsidR="00D227DA">
        <w:rPr>
          <w:spacing w:val="1"/>
          <w:sz w:val="28"/>
          <w:szCs w:val="28"/>
        </w:rPr>
        <w:t>м</w:t>
      </w:r>
      <w:r w:rsidR="00641ACE" w:rsidRPr="00641ACE">
        <w:rPr>
          <w:spacing w:val="1"/>
          <w:sz w:val="28"/>
          <w:szCs w:val="28"/>
        </w:rPr>
        <w:t>естной православной религиозной организации «Приход храма во имя святого великомученика Георгия Победоносца г. Новосибирска (Центральный район) Новосибирской Епархии Русской Православной Церкви (Московский Патриархат)» (на основании заявления в связи с тем, что наличие инженерных сетей является неблагоприятным для застройки, а также с необходимостью соблюдения противопожарных и санитарно-защитных разрывов</w:t>
      </w:r>
      <w:proofErr w:type="gramEnd"/>
      <w:r w:rsidR="00641ACE" w:rsidRPr="00641ACE">
        <w:rPr>
          <w:spacing w:val="1"/>
          <w:sz w:val="28"/>
          <w:szCs w:val="28"/>
        </w:rPr>
        <w:t>) в части уменьшения предельного минимального количества машино-мест для стоянок индивидуальных транспортных средств с 30</w:t>
      </w:r>
      <w:r w:rsidR="003917CC">
        <w:rPr>
          <w:spacing w:val="1"/>
          <w:sz w:val="28"/>
          <w:szCs w:val="28"/>
        </w:rPr>
        <w:t> </w:t>
      </w:r>
      <w:r w:rsidR="00641ACE" w:rsidRPr="00641ACE">
        <w:rPr>
          <w:spacing w:val="1"/>
          <w:sz w:val="28"/>
          <w:szCs w:val="28"/>
        </w:rPr>
        <w:t>машино-мест до 7 машино-мест в границах земельного участка с кадастровым номером 54:35:033410:357 площадью, 3195 га, расположенного по адресу: Российская Федерация, Новосибирская область, город Новосибирск, ул.</w:t>
      </w:r>
      <w:r w:rsidR="003917CC">
        <w:rPr>
          <w:spacing w:val="1"/>
          <w:sz w:val="28"/>
          <w:szCs w:val="28"/>
        </w:rPr>
        <w:t> </w:t>
      </w:r>
      <w:proofErr w:type="spellStart"/>
      <w:r w:rsidR="00641ACE" w:rsidRPr="00641ACE">
        <w:rPr>
          <w:spacing w:val="1"/>
          <w:sz w:val="28"/>
          <w:szCs w:val="28"/>
        </w:rPr>
        <w:t>Красногорская</w:t>
      </w:r>
      <w:proofErr w:type="spellEnd"/>
      <w:r w:rsidR="00641ACE" w:rsidRPr="00641ACE">
        <w:rPr>
          <w:spacing w:val="1"/>
          <w:sz w:val="28"/>
          <w:szCs w:val="28"/>
        </w:rPr>
        <w:t xml:space="preserve"> (зона объектов среднего профессионального и высшего образования, научно-исследовательских организаций (ОД-2)).</w:t>
      </w:r>
    </w:p>
    <w:p w:rsidR="00F508AF" w:rsidRPr="007B55EF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7"/>
                <w:szCs w:val="27"/>
              </w:rPr>
              <w:t>З</w:t>
            </w:r>
            <w:r w:rsidR="00931F8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931F8E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В. Н</w:t>
            </w:r>
            <w:r w:rsidRPr="007B55EF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A9471A">
      <w:headerReference w:type="default" r:id="rId11"/>
      <w:pgSz w:w="11906" w:h="16838"/>
      <w:pgMar w:top="881" w:right="566" w:bottom="426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FCF" w:rsidRDefault="00073FCF" w:rsidP="00330C25">
      <w:r>
        <w:separator/>
      </w:r>
    </w:p>
  </w:endnote>
  <w:endnote w:type="continuationSeparator" w:id="0">
    <w:p w:rsidR="00073FCF" w:rsidRDefault="00073FCF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FCF" w:rsidRDefault="00073FCF" w:rsidP="00330C25">
      <w:r>
        <w:separator/>
      </w:r>
    </w:p>
  </w:footnote>
  <w:footnote w:type="continuationSeparator" w:id="0">
    <w:p w:rsidR="00073FCF" w:rsidRDefault="00073FCF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931F8E" w:rsidRDefault="00B44F33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931F8E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A9471A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931F8E" w:rsidRDefault="00931F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17C03"/>
    <w:rsid w:val="000216FB"/>
    <w:rsid w:val="000238ED"/>
    <w:rsid w:val="00023B96"/>
    <w:rsid w:val="00027870"/>
    <w:rsid w:val="00040ECD"/>
    <w:rsid w:val="000442A3"/>
    <w:rsid w:val="00045CD3"/>
    <w:rsid w:val="00060B90"/>
    <w:rsid w:val="00073FCF"/>
    <w:rsid w:val="00084A90"/>
    <w:rsid w:val="00090839"/>
    <w:rsid w:val="000938F3"/>
    <w:rsid w:val="00093E91"/>
    <w:rsid w:val="000A005E"/>
    <w:rsid w:val="000A08E0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1DFA"/>
    <w:rsid w:val="0014253E"/>
    <w:rsid w:val="00142D46"/>
    <w:rsid w:val="0015713E"/>
    <w:rsid w:val="001651EC"/>
    <w:rsid w:val="00165314"/>
    <w:rsid w:val="001668D5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D1C34"/>
    <w:rsid w:val="002E637E"/>
    <w:rsid w:val="002F31E5"/>
    <w:rsid w:val="002F48BE"/>
    <w:rsid w:val="00303D91"/>
    <w:rsid w:val="0030419B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3B25"/>
    <w:rsid w:val="003872E4"/>
    <w:rsid w:val="0038766E"/>
    <w:rsid w:val="0039010C"/>
    <w:rsid w:val="003917C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301C"/>
    <w:rsid w:val="00495FEB"/>
    <w:rsid w:val="004A1CA2"/>
    <w:rsid w:val="004A22AB"/>
    <w:rsid w:val="004A54FF"/>
    <w:rsid w:val="004A7E13"/>
    <w:rsid w:val="004B2E61"/>
    <w:rsid w:val="004C6EDB"/>
    <w:rsid w:val="004C7F12"/>
    <w:rsid w:val="004D7D19"/>
    <w:rsid w:val="004E0A43"/>
    <w:rsid w:val="004E10AD"/>
    <w:rsid w:val="004E32CD"/>
    <w:rsid w:val="004E7CB2"/>
    <w:rsid w:val="004F563E"/>
    <w:rsid w:val="0050741E"/>
    <w:rsid w:val="00511E73"/>
    <w:rsid w:val="0052147D"/>
    <w:rsid w:val="00523471"/>
    <w:rsid w:val="005256FA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2774"/>
    <w:rsid w:val="00683DC1"/>
    <w:rsid w:val="00696A72"/>
    <w:rsid w:val="006A0D09"/>
    <w:rsid w:val="006A1939"/>
    <w:rsid w:val="006A2074"/>
    <w:rsid w:val="006A7B3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1B6"/>
    <w:rsid w:val="007F1458"/>
    <w:rsid w:val="007F1825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8C"/>
    <w:rsid w:val="008335D5"/>
    <w:rsid w:val="008338E8"/>
    <w:rsid w:val="008416C8"/>
    <w:rsid w:val="00845C06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12EAD"/>
    <w:rsid w:val="00931C9D"/>
    <w:rsid w:val="00931F8E"/>
    <w:rsid w:val="00944DDD"/>
    <w:rsid w:val="00947230"/>
    <w:rsid w:val="009500C1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9471A"/>
    <w:rsid w:val="00AA061C"/>
    <w:rsid w:val="00AA1EAC"/>
    <w:rsid w:val="00AA460E"/>
    <w:rsid w:val="00AB5A55"/>
    <w:rsid w:val="00AB7424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9C3"/>
    <w:rsid w:val="00B44F33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2013"/>
    <w:rsid w:val="00C734C0"/>
    <w:rsid w:val="00C73FDC"/>
    <w:rsid w:val="00C74A8F"/>
    <w:rsid w:val="00C74C6F"/>
    <w:rsid w:val="00C75EA6"/>
    <w:rsid w:val="00C76D7C"/>
    <w:rsid w:val="00C779F6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3765"/>
    <w:rsid w:val="00CF4899"/>
    <w:rsid w:val="00D001BB"/>
    <w:rsid w:val="00D01431"/>
    <w:rsid w:val="00D04C91"/>
    <w:rsid w:val="00D0742A"/>
    <w:rsid w:val="00D07F54"/>
    <w:rsid w:val="00D15266"/>
    <w:rsid w:val="00D164EA"/>
    <w:rsid w:val="00D17EFB"/>
    <w:rsid w:val="00D21CAC"/>
    <w:rsid w:val="00D227DA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D494E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2101C"/>
    <w:rsid w:val="00E30B54"/>
    <w:rsid w:val="00E32694"/>
    <w:rsid w:val="00E40F32"/>
    <w:rsid w:val="00E46F50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87BF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B99"/>
    <w:rsid w:val="00EE7FD7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3F2E"/>
    <w:rsid w:val="00F67DBD"/>
    <w:rsid w:val="00F67F1A"/>
    <w:rsid w:val="00F7041C"/>
    <w:rsid w:val="00F713C0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EDD1D-D3BB-4F08-B743-1CB6853A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17</cp:revision>
  <cp:lastPrinted>2018-12-11T05:31:00Z</cp:lastPrinted>
  <dcterms:created xsi:type="dcterms:W3CDTF">2018-11-30T03:44:00Z</dcterms:created>
  <dcterms:modified xsi:type="dcterms:W3CDTF">2018-12-11T11:08:00Z</dcterms:modified>
</cp:coreProperties>
</file>