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C6" w:rsidRPr="00266B8E" w:rsidRDefault="00CB34DE" w:rsidP="00266B8E">
      <w:pPr>
        <w:pStyle w:val="ConsPlusNormal"/>
        <w:ind w:left="5954"/>
        <w:jc w:val="center"/>
        <w:rPr>
          <w:rFonts w:ascii="Times New Roman" w:hAnsi="Times New Roman" w:cs="Times New Roman"/>
          <w:sz w:val="28"/>
          <w:szCs w:val="28"/>
        </w:rPr>
      </w:pPr>
      <w:r w:rsidRPr="00266B8E">
        <w:rPr>
          <w:rFonts w:ascii="Times New Roman" w:hAnsi="Times New Roman" w:cs="Times New Roman"/>
          <w:sz w:val="28"/>
          <w:szCs w:val="28"/>
        </w:rPr>
        <w:t>ПРИЛОЖЕНИЕ № 2</w:t>
      </w:r>
    </w:p>
    <w:p w:rsidR="00964BC6" w:rsidRDefault="00CB34DE">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w:t>
      </w:r>
    </w:p>
    <w:p w:rsidR="00964BC6" w:rsidRDefault="00CB34DE">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64BC6" w:rsidRDefault="00223685">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о</w:t>
      </w:r>
      <w:r w:rsidR="00CB34DE">
        <w:rPr>
          <w:rFonts w:ascii="Times New Roman" w:hAnsi="Times New Roman" w:cs="Times New Roman"/>
          <w:sz w:val="28"/>
          <w:szCs w:val="28"/>
        </w:rPr>
        <w:t>т</w:t>
      </w:r>
      <w:r>
        <w:rPr>
          <w:rFonts w:ascii="Times New Roman" w:hAnsi="Times New Roman" w:cs="Times New Roman"/>
          <w:sz w:val="28"/>
          <w:szCs w:val="28"/>
        </w:rPr>
        <w:t> 11.11.2024</w:t>
      </w:r>
      <w:r w:rsidR="00CB34DE">
        <w:rPr>
          <w:rFonts w:ascii="Times New Roman" w:hAnsi="Times New Roman" w:cs="Times New Roman"/>
          <w:sz w:val="28"/>
          <w:szCs w:val="28"/>
        </w:rPr>
        <w:t xml:space="preserve"> №</w:t>
      </w:r>
      <w:r>
        <w:rPr>
          <w:rFonts w:ascii="Times New Roman" w:hAnsi="Times New Roman" w:cs="Times New Roman"/>
          <w:sz w:val="28"/>
          <w:szCs w:val="28"/>
        </w:rPr>
        <w:t> </w:t>
      </w:r>
      <w:bookmarkStart w:id="0" w:name="_GoBack"/>
      <w:bookmarkEnd w:id="0"/>
      <w:r>
        <w:rPr>
          <w:rFonts w:ascii="Times New Roman" w:hAnsi="Times New Roman" w:cs="Times New Roman"/>
          <w:sz w:val="28"/>
          <w:szCs w:val="28"/>
        </w:rPr>
        <w:t>510-п</w:t>
      </w:r>
    </w:p>
    <w:p w:rsidR="00964BC6" w:rsidRDefault="00964BC6">
      <w:pPr>
        <w:pStyle w:val="ConsPlusNormal"/>
        <w:ind w:left="5954"/>
        <w:jc w:val="center"/>
        <w:rPr>
          <w:rFonts w:ascii="Times New Roman" w:hAnsi="Times New Roman" w:cs="Times New Roman"/>
          <w:bCs/>
          <w:sz w:val="28"/>
          <w:szCs w:val="28"/>
        </w:rPr>
      </w:pPr>
    </w:p>
    <w:p w:rsidR="00964BC6" w:rsidRDefault="00964BC6">
      <w:pPr>
        <w:pStyle w:val="ConsPlusNormal"/>
        <w:ind w:left="5954"/>
        <w:jc w:val="center"/>
        <w:rPr>
          <w:rFonts w:ascii="Times New Roman" w:hAnsi="Times New Roman" w:cs="Times New Roman"/>
          <w:bCs/>
          <w:sz w:val="28"/>
          <w:szCs w:val="28"/>
        </w:rPr>
      </w:pPr>
    </w:p>
    <w:p w:rsidR="00964BC6" w:rsidRDefault="00964BC6">
      <w:pPr>
        <w:pStyle w:val="ConsPlusNormal"/>
        <w:ind w:left="5954"/>
        <w:jc w:val="center"/>
        <w:rPr>
          <w:rFonts w:ascii="Times New Roman" w:hAnsi="Times New Roman" w:cs="Times New Roman"/>
          <w:bCs/>
          <w:sz w:val="28"/>
          <w:szCs w:val="28"/>
        </w:rPr>
      </w:pPr>
    </w:p>
    <w:p w:rsidR="00964BC6" w:rsidRDefault="00CB34DE">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«ПРИЛОЖЕНИЕ № 6</w:t>
      </w:r>
    </w:p>
    <w:p w:rsidR="00964BC6" w:rsidRDefault="00CB34DE">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 Новосибирской области</w:t>
      </w:r>
    </w:p>
    <w:p w:rsidR="00964BC6" w:rsidRDefault="00CB34DE">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от 02.02.2015 № 37-п</w:t>
      </w:r>
    </w:p>
    <w:p w:rsidR="00964BC6" w:rsidRDefault="00964BC6">
      <w:pPr>
        <w:spacing w:after="0" w:line="240" w:lineRule="auto"/>
        <w:jc w:val="center"/>
        <w:rPr>
          <w:rFonts w:ascii="Times New Roman" w:hAnsi="Times New Roman"/>
          <w:b/>
          <w:sz w:val="28"/>
          <w:szCs w:val="28"/>
        </w:rPr>
      </w:pPr>
    </w:p>
    <w:p w:rsidR="00964BC6" w:rsidRDefault="00964BC6">
      <w:pPr>
        <w:spacing w:after="0" w:line="240" w:lineRule="auto"/>
        <w:jc w:val="center"/>
        <w:rPr>
          <w:rFonts w:ascii="Times New Roman" w:hAnsi="Times New Roman"/>
          <w:b/>
          <w:sz w:val="28"/>
          <w:szCs w:val="28"/>
        </w:rPr>
      </w:pPr>
    </w:p>
    <w:p w:rsidR="00964BC6" w:rsidRDefault="00CB34DE">
      <w:pPr>
        <w:spacing w:after="0" w:line="240" w:lineRule="auto"/>
        <w:jc w:val="center"/>
        <w:rPr>
          <w:rFonts w:ascii="Times New Roman" w:hAnsi="Times New Roman"/>
          <w:b/>
          <w:sz w:val="28"/>
          <w:szCs w:val="28"/>
        </w:rPr>
      </w:pPr>
      <w:r>
        <w:rPr>
          <w:rFonts w:ascii="Times New Roman" w:hAnsi="Times New Roman"/>
          <w:b/>
          <w:sz w:val="28"/>
          <w:szCs w:val="28"/>
        </w:rPr>
        <w:t>ПОРЯДОК</w:t>
      </w:r>
    </w:p>
    <w:p w:rsidR="00964BC6" w:rsidRDefault="00CB34DE">
      <w:pPr>
        <w:spacing w:after="0" w:line="240" w:lineRule="auto"/>
        <w:jc w:val="center"/>
        <w:rPr>
          <w:rFonts w:ascii="Times New Roman" w:hAnsi="Times New Roman"/>
          <w:b/>
          <w:sz w:val="28"/>
          <w:szCs w:val="28"/>
        </w:rPr>
      </w:pPr>
      <w:r>
        <w:rPr>
          <w:rFonts w:ascii="Times New Roman" w:hAnsi="Times New Roman"/>
          <w:b/>
          <w:sz w:val="28"/>
          <w:szCs w:val="28"/>
        </w:rPr>
        <w:t>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w:t>
      </w:r>
    </w:p>
    <w:p w:rsidR="00964BC6" w:rsidRDefault="00964BC6">
      <w:pPr>
        <w:spacing w:after="0" w:line="240" w:lineRule="auto"/>
        <w:jc w:val="center"/>
        <w:outlineLvl w:val="0"/>
        <w:rPr>
          <w:rFonts w:ascii="Times New Roman" w:hAnsi="Times New Roman"/>
          <w:b/>
          <w:bCs/>
          <w:sz w:val="28"/>
          <w:szCs w:val="28"/>
        </w:rPr>
      </w:pPr>
    </w:p>
    <w:p w:rsidR="00964BC6" w:rsidRDefault="00CB34DE">
      <w:pPr>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964BC6" w:rsidRDefault="00964BC6">
      <w:pPr>
        <w:spacing w:after="0" w:line="240" w:lineRule="auto"/>
        <w:jc w:val="center"/>
        <w:outlineLvl w:val="0"/>
        <w:rPr>
          <w:rFonts w:ascii="Times New Roman" w:hAnsi="Times New Roman"/>
          <w:b/>
          <w:bCs/>
          <w:sz w:val="28"/>
          <w:szCs w:val="28"/>
        </w:rPr>
      </w:pP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 Настоящий Порядок регламентирует предоставление грантов в форме субсидий на поддержку приоритетных направлений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сельскохозяйственным товаропроизводителям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гранта в форме субсидии «Агропрогресс», порядок возврата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разработан в соответствии с </w:t>
      </w:r>
      <w:hyperlink r:id="rId7" w:tooltip="https://login.consultant.ru/link/?req=doc&amp;base=LAW&amp;n=450750" w:history="1">
        <w:r>
          <w:rPr>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8" w:tooltip="https://login.consultant.ru/link/?req=doc&amp;base=LAW&amp;n=435381&amp;dst=100018" w:history="1">
        <w:r>
          <w:rPr>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Используемые в настоящем Порядке понятия: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«грант «Агропрогресс»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9" w:tooltip="https://login.consultant.ru/link/?req=doc&amp;base=LAW&amp;n=464169" w:history="1">
        <w:r>
          <w:rPr>
            <w:rFonts w:ascii="Times New Roman" w:hAnsi="Times New Roman"/>
            <w:sz w:val="28"/>
            <w:szCs w:val="28"/>
          </w:rPr>
          <w:t>законом</w:t>
        </w:r>
      </w:hyperlink>
      <w:r>
        <w:rPr>
          <w:rFonts w:ascii="Times New Roman" w:hAnsi="Times New Roman"/>
          <w:sz w:val="28"/>
          <w:szCs w:val="28"/>
        </w:rPr>
        <w:t xml:space="preserve"> от 24.07.2007 №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r:id="rId10" w:tooltip="https://login.consultant.ru/link/?req=doc&amp;base=RLAW049&amp;n=164139&amp;dst=100047" w:history="1">
        <w:r>
          <w:rPr>
            <w:rFonts w:ascii="Times New Roman" w:hAnsi="Times New Roman"/>
            <w:sz w:val="28"/>
            <w:szCs w:val="28"/>
          </w:rPr>
          <w:t>программой</w:t>
        </w:r>
      </w:hyperlink>
      <w:r>
        <w:rPr>
          <w:rFonts w:ascii="Times New Roman" w:hAnsi="Times New Roman"/>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(далее – постановление № 37-п), в целях реализации проекта «Агропрогресс» на сельских территориях и на территориях сельских агломераций Новосибирской области;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«грант на развитие материально-технической базы»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r:id="rId11" w:tooltip="https://login.consultant.ru/link/?req=doc&amp;base=RLAW049&amp;n=164139&amp;dst=100047" w:history="1">
        <w:r>
          <w:rPr>
            <w:rFonts w:ascii="Times New Roman" w:hAnsi="Times New Roman"/>
            <w:sz w:val="28"/>
            <w:szCs w:val="28"/>
          </w:rPr>
          <w:t>программой</w:t>
        </w:r>
      </w:hyperlink>
      <w:r>
        <w:rPr>
          <w:rFonts w:ascii="Times New Roman" w:hAnsi="Times New Roman"/>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«грант на развитие семейной фермы» -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r:id="rId12" w:tooltip="https://login.consultant.ru/link/?req=doc&amp;base=RLAW049&amp;n=164139&amp;dst=100047" w:history="1">
        <w:r>
          <w:rPr>
            <w:rFonts w:ascii="Times New Roman" w:hAnsi="Times New Roman"/>
            <w:sz w:val="28"/>
            <w:szCs w:val="28"/>
          </w:rPr>
          <w:t>программой</w:t>
        </w:r>
      </w:hyperlink>
      <w:r>
        <w:rPr>
          <w:rFonts w:ascii="Times New Roman" w:hAnsi="Times New Roman"/>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 37-п, в целях развития на сельских территориях и на территориях сельских агломераций </w:t>
      </w:r>
      <w:r>
        <w:rPr>
          <w:rFonts w:ascii="Times New Roman" w:hAnsi="Times New Roman"/>
          <w:sz w:val="28"/>
          <w:szCs w:val="28"/>
        </w:rPr>
        <w:lastRenderedPageBreak/>
        <w:t>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«малые формы хозяйствования» - крестьянские (фермерские) хозяйства, созданные в соответствии с Федеральным </w:t>
      </w:r>
      <w:hyperlink r:id="rId13" w:tooltip="https://login.consultant.ru/link/?req=doc&amp;base=LAW&amp;n=394431" w:history="1">
        <w:r>
          <w:rPr>
            <w:rFonts w:ascii="Times New Roman" w:hAnsi="Times New Roman"/>
            <w:sz w:val="28"/>
            <w:szCs w:val="28"/>
          </w:rPr>
          <w:t>законом</w:t>
        </w:r>
      </w:hyperlink>
      <w:r>
        <w:rPr>
          <w:rFonts w:ascii="Times New Roman" w:hAnsi="Times New Roman"/>
          <w:sz w:val="28"/>
          <w:szCs w:val="28"/>
        </w:rPr>
        <w:t xml:space="preserve"> от 11.06.2003 №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 w:tooltip="https://login.consultant.ru/link/?req=doc&amp;base=LAW&amp;n=454097" w:history="1">
        <w:r>
          <w:rPr>
            <w:rFonts w:ascii="Times New Roman" w:hAnsi="Times New Roman"/>
            <w:sz w:val="28"/>
            <w:szCs w:val="28"/>
          </w:rPr>
          <w:t>законом</w:t>
        </w:r>
      </w:hyperlink>
      <w:r>
        <w:rPr>
          <w:rFonts w:ascii="Times New Roman" w:hAnsi="Times New Roman"/>
          <w:sz w:val="28"/>
          <w:szCs w:val="28"/>
        </w:rPr>
        <w:t xml:space="preserve"> от 08.12.1995 № 193-ФЗ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15" w:tooltip="https://login.consultant.ru/link/?req=doc&amp;base=LAW&amp;n=454116" w:history="1">
        <w:r>
          <w:rPr>
            <w:rFonts w:ascii="Times New Roman" w:hAnsi="Times New Roman"/>
            <w:sz w:val="28"/>
            <w:szCs w:val="28"/>
          </w:rPr>
          <w:t>законом</w:t>
        </w:r>
      </w:hyperlink>
      <w:r>
        <w:rPr>
          <w:rFonts w:ascii="Times New Roman" w:hAnsi="Times New Roman"/>
          <w:sz w:val="28"/>
          <w:szCs w:val="28"/>
        </w:rPr>
        <w:t xml:space="preserve"> от 07.07.2003 № 112-ФЗ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Новосибирской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Порядок внесения изменений в плановые показатели деятельности устанавливается приказом министерства сельского хозяйства Новосибирской области (далее – министерство);</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«проект «Агропрогресс» - документ (бизнес-план), представляемый в региональную конкурсную комиссию в порядке и по форме, которые установлены приказом министерства,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«проект грантополучателя» - документ (бизнес-план), представляемый в региональную конкурсную комиссию в порядке и по форме, которые установлены приказом министерствоа, в который включаются направления расходов и условия использования гранта в форме субсидии на развитие семейной фермы, гранта в форме субсидии на развитие материально-технической базы, а также плановые показатели деятельности, обязательство по исполнению которых включается в Соглашение между грантополучателями и министерством о предоставлении гранта.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«региональная конкурсная комиссия» - конкурсная комиссия, создаваемая приказом министерства,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r:id="rId16" w:tooltip="https://login.consultant.ru/link/?req=doc&amp;base=RLAW049&amp;n=164139&amp;dst=100047" w:history="1">
        <w:r>
          <w:rPr>
            <w:rFonts w:ascii="Times New Roman" w:hAnsi="Times New Roman"/>
            <w:sz w:val="28"/>
            <w:szCs w:val="28"/>
          </w:rPr>
          <w:t>программы</w:t>
        </w:r>
      </w:hyperlink>
      <w:r>
        <w:rPr>
          <w:rFonts w:ascii="Times New Roman" w:hAnsi="Times New Roman"/>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 37-п;</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7" w:tooltip="https://login.consultant.ru/link/?req=doc&amp;base=RLAW049&amp;n=126581&amp;dst=100018" w:history="1">
        <w:r>
          <w:rPr>
            <w:rFonts w:ascii="Times New Roman" w:hAnsi="Times New Roman"/>
            <w:sz w:val="28"/>
            <w:szCs w:val="28"/>
          </w:rPr>
          <w:t>Перечень</w:t>
        </w:r>
      </w:hyperlink>
      <w:r>
        <w:rPr>
          <w:rFonts w:ascii="Times New Roman" w:hAnsi="Times New Roman"/>
          <w:sz w:val="28"/>
          <w:szCs w:val="28"/>
        </w:rPr>
        <w:t xml:space="preserve"> сельских территорий Новосибирской области утвержден постановлением Правительства Новосибирской области от 03.03.2020 № 52-п «Об утверждении перечней сельских территорий и сельских агломераций Новосибирской области»;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приказом министерства;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8" w:tooltip="https://login.consultant.ru/link/?req=doc&amp;base=LAW&amp;n=454097" w:history="1">
        <w:r>
          <w:rPr>
            <w:rFonts w:ascii="Times New Roman" w:hAnsi="Times New Roman"/>
            <w:sz w:val="28"/>
            <w:szCs w:val="28"/>
          </w:rPr>
          <w:t>законом</w:t>
        </w:r>
      </w:hyperlink>
      <w:r>
        <w:rPr>
          <w:rFonts w:ascii="Times New Roman" w:hAnsi="Times New Roman"/>
          <w:sz w:val="28"/>
          <w:szCs w:val="28"/>
        </w:rPr>
        <w:t xml:space="preserve"> от 08.12.1995 № 193-ФЗ «О сельскохозяйственной кооперации», или потребительское общество (кооператив), созданное в соответствии с </w:t>
      </w:r>
      <w:hyperlink r:id="rId19" w:tooltip="https://login.consultant.ru/link/?req=doc&amp;base=LAW&amp;n=148609" w:history="1">
        <w:r>
          <w:rPr>
            <w:rFonts w:ascii="Times New Roman" w:hAnsi="Times New Roman"/>
            <w:sz w:val="28"/>
            <w:szCs w:val="28"/>
          </w:rPr>
          <w:t>Законом</w:t>
        </w:r>
      </w:hyperlink>
      <w:r>
        <w:rPr>
          <w:rFonts w:ascii="Times New Roman" w:hAnsi="Times New Roman"/>
          <w:sz w:val="28"/>
          <w:szCs w:val="28"/>
        </w:rPr>
        <w:t xml:space="preserve"> Российской Федерации от 19.06.1992 № 3085-1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Гранты предоставляются следующим категориям получателей грантов (далее - грантополучатели):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 семейная ферма;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сельскохозяйственный потребительский кооператив;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начинающий сельскохозяйственный потребительский кооператив;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4)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Министерство устанавливает соответствие участника конкурсного отбора категориям грантополучателей на основании следующих документов: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число членов сельскохозяйственного потребительского кооператива и начинающего сельскохозяйственного потребительского кооператива – на основании документов, представляемых участником конкурсного отбора в соответствии с пунктом 8 </w:t>
      </w:r>
      <w:hyperlink r:id="rId20" w:tooltip="https://login.consultant.ru/link/?req=doc&amp;base=RLAW049&amp;n=171672&amp;dst=133213" w:history="1">
        <w:r>
          <w:rPr>
            <w:rFonts w:ascii="Times New Roman" w:hAnsi="Times New Roman"/>
            <w:sz w:val="28"/>
            <w:szCs w:val="28"/>
          </w:rPr>
          <w:t>Положения</w:t>
        </w:r>
      </w:hyperlink>
      <w:r>
        <w:rPr>
          <w:rFonts w:ascii="Times New Roman" w:hAnsi="Times New Roman"/>
          <w:sz w:val="28"/>
          <w:szCs w:val="28"/>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являющегося приложением № 10 к постановлению № 37-п (далее - Положение о конкурсном отборе);</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факт осуществления участником конкурсного отбора деятельности в течение установленного срока и долю выручки сельскохозяйственного потребительского кооператива от осуществления деятельности по заготовке, хранению, переработке и сбыту сельскохозяйственной продукции – на основании отчета(ов)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 1-КФХ или по форме № 1-ИП (для участников отбора – индивидуальных предпринимателей) за год(ы), предшествующий(ие) году участия в конкурсном отборе, представленного(ых) участником конкурсного отбора в министерство по форме и в срок, устанавливаемые Министерством сельского хозяйства Российской Федерации;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факт регистрации участника конкурсного отбора на сельской территории или территории сельской агломерации Новосибирской области: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в отношении участника конкурсного отбора – юридического лица - на основании сведений Единого государственного реестра юридических лиц;</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в отношении участника конкурсного отбора – индивидуального предпринимателя - на основании адреса регистрации по месту жительства индивидуального предпринимателя.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4. Целями предоставления грантов являются: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 создание и развитие на сельских территориях и сельских агломерациях Новосибирской области малого и среднего предпринимательства;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увеличение производства продукции сельского хозяйства в рамках приоритетных направлений агропромышленного комплекса Новосибирской области;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4) создание на сельских территориях и сельских агломерациях Новосибирской области новых постоянных рабочих мест.</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5.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964BC6" w:rsidRDefault="00CB34DE">
      <w:pPr>
        <w:spacing w:after="0" w:line="240" w:lineRule="auto"/>
        <w:ind w:firstLine="709"/>
        <w:jc w:val="both"/>
      </w:pPr>
      <w:r>
        <w:rPr>
          <w:rFonts w:ascii="Times New Roman" w:hAnsi="Times New Roman"/>
          <w:sz w:val="28"/>
          <w:szCs w:val="28"/>
        </w:rPr>
        <w:t>Министерство размещает сведения о грантах на едином портале бюджетной системы Российской Федерации в информационно-телекоммуникационной сети «Интернет» (в разделе единого портала) в порядке, утвержденном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грантов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 грант на развитие семейной фермы;</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грант на развитие материально-технической базы сельскохозяйственного потребительского кооператива;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грант на развитие материально-технической базы начинающего сельскохозяйственного потребительского кооператива;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4) грант «Агропрогресс».</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6. Гранты предоставляются на следующие виды затрат:</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осуществление следующих расходов: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земельных участков из земель сельскохозяйственного назначения, находящихся в муниципальной собственности;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уплата процентов по кредиту, указанному в </w:t>
      </w:r>
      <w:hyperlink w:anchor="Par4" w:tooltip="#Par4" w:history="1">
        <w:r>
          <w:rPr>
            <w:rFonts w:ascii="Times New Roman" w:hAnsi="Times New Roman"/>
            <w:sz w:val="28"/>
            <w:szCs w:val="28"/>
          </w:rPr>
          <w:t>абзаце шестом</w:t>
        </w:r>
      </w:hyperlink>
      <w:r>
        <w:rPr>
          <w:rFonts w:ascii="Times New Roman" w:hAnsi="Times New Roman"/>
          <w:sz w:val="28"/>
          <w:szCs w:val="28"/>
        </w:rPr>
        <w:t xml:space="preserve"> настоящего подпункта, в течение 18 месяцев со дня получения гранта на развитие семейной фермы;</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уплата расходов, связанных с доставкой имущества, указанного в </w:t>
      </w:r>
      <w:hyperlink w:anchor="Par3" w:tooltip="#Par3" w:history="1">
        <w:r>
          <w:rPr>
            <w:rFonts w:ascii="Times New Roman" w:hAnsi="Times New Roman"/>
            <w:sz w:val="28"/>
            <w:szCs w:val="28"/>
          </w:rPr>
          <w:t>абзаце пятом</w:t>
        </w:r>
      </w:hyperlink>
      <w:r>
        <w:rPr>
          <w:rFonts w:ascii="Times New Roman" w:hAnsi="Times New Roman"/>
          <w:sz w:val="28"/>
          <w:szCs w:val="28"/>
        </w:rPr>
        <w:t xml:space="preserve"> настоящего подпункта.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грант на развитие материально-технической базы сельскохозяйственного потребительского кооператива предоставляется на осуществление следующих расходов: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964BC6" w:rsidRDefault="00CB34DE">
      <w:pPr>
        <w:spacing w:after="0" w:line="240" w:lineRule="auto"/>
        <w:ind w:firstLine="709"/>
        <w:jc w:val="both"/>
        <w:rPr>
          <w:rFonts w:ascii="Times New Roman" w:hAnsi="Times New Roman"/>
          <w:sz w:val="28"/>
          <w:szCs w:val="28"/>
        </w:rPr>
      </w:pPr>
      <w:bookmarkStart w:id="1" w:name="Par2"/>
      <w:bookmarkEnd w:id="1"/>
      <w:r>
        <w:rPr>
          <w:rFonts w:ascii="Times New Roman" w:hAnsi="Times New Roman"/>
          <w:sz w:val="28"/>
          <w:szCs w:val="28"/>
        </w:rP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и монтаж оборудования для рыбоводной инфраструктуры и товарной аквакультуры (товарного рыбоводства);</w:t>
      </w:r>
    </w:p>
    <w:p w:rsidR="00964BC6" w:rsidRDefault="00CB34DE">
      <w:pPr>
        <w:spacing w:after="0" w:line="240" w:lineRule="auto"/>
        <w:ind w:firstLine="709"/>
        <w:jc w:val="both"/>
        <w:rPr>
          <w:rFonts w:ascii="Times New Roman" w:hAnsi="Times New Roman"/>
          <w:sz w:val="28"/>
          <w:szCs w:val="28"/>
        </w:rPr>
      </w:pPr>
      <w:bookmarkStart w:id="2" w:name="Par4"/>
      <w:bookmarkEnd w:id="2"/>
      <w:r>
        <w:rPr>
          <w:rFonts w:ascii="Times New Roman" w:hAnsi="Times New Roman"/>
          <w:sz w:val="28"/>
          <w:szCs w:val="28"/>
        </w:rP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доставка оборудования, указанного в </w:t>
      </w:r>
      <w:hyperlink w:anchor="Par2" w:tooltip="#Par2" w:history="1">
        <w:r>
          <w:rPr>
            <w:rFonts w:ascii="Times New Roman" w:hAnsi="Times New Roman"/>
            <w:sz w:val="28"/>
            <w:szCs w:val="28"/>
          </w:rPr>
          <w:t>абзацах третьем</w:t>
        </w:r>
      </w:hyperlink>
      <w:r>
        <w:rPr>
          <w:rFonts w:ascii="Times New Roman" w:hAnsi="Times New Roman"/>
          <w:sz w:val="28"/>
          <w:szCs w:val="28"/>
        </w:rPr>
        <w:t xml:space="preserve"> - </w:t>
      </w:r>
      <w:hyperlink w:anchor="Par4" w:tooltip="#Par4" w:history="1">
        <w:r>
          <w:rPr>
            <w:rFonts w:ascii="Times New Roman" w:hAnsi="Times New Roman"/>
            <w:sz w:val="28"/>
            <w:szCs w:val="28"/>
          </w:rPr>
          <w:t>пятом</w:t>
        </w:r>
      </w:hyperlink>
      <w:r>
        <w:rPr>
          <w:rFonts w:ascii="Times New Roman" w:hAnsi="Times New Roman"/>
          <w:sz w:val="28"/>
          <w:szCs w:val="28"/>
        </w:rPr>
        <w:t xml:space="preserve"> настоящего подпункта;</w:t>
      </w:r>
    </w:p>
    <w:p w:rsidR="00964BC6" w:rsidRDefault="00CB34DE">
      <w:pPr>
        <w:spacing w:after="0" w:line="240" w:lineRule="auto"/>
        <w:ind w:firstLine="709"/>
        <w:jc w:val="both"/>
        <w:rPr>
          <w:rFonts w:ascii="Times New Roman" w:hAnsi="Times New Roman"/>
          <w:sz w:val="28"/>
          <w:szCs w:val="28"/>
        </w:rPr>
      </w:pPr>
      <w:bookmarkStart w:id="3" w:name="Par6"/>
      <w:bookmarkEnd w:id="3"/>
      <w:r>
        <w:rPr>
          <w:rFonts w:ascii="Times New Roman" w:hAnsi="Times New Roman"/>
          <w:sz w:val="28"/>
          <w:szCs w:val="28"/>
        </w:rPr>
        <w:t>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уплата процентов по кредиту, указанному в </w:t>
      </w:r>
      <w:hyperlink w:anchor="Par6" w:tooltip="#Par6" w:history="1">
        <w:r>
          <w:rPr>
            <w:rFonts w:ascii="Times New Roman" w:hAnsi="Times New Roman"/>
            <w:sz w:val="28"/>
            <w:szCs w:val="28"/>
          </w:rPr>
          <w:t>абзаце седьмом</w:t>
        </w:r>
      </w:hyperlink>
      <w:r>
        <w:rPr>
          <w:rFonts w:ascii="Times New Roman" w:hAnsi="Times New Roman"/>
          <w:sz w:val="28"/>
          <w:szCs w:val="28"/>
        </w:rPr>
        <w:t xml:space="preserve"> настоящего подпункта, в течение 18 месяцев со дня получения гранта на развитие материально-технической базы;</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оборудования, указанного в </w:t>
      </w:r>
      <w:hyperlink w:anchor="Par2" w:tooltip="#Par2" w:history="1">
        <w:r>
          <w:rPr>
            <w:rFonts w:ascii="Times New Roman" w:hAnsi="Times New Roman"/>
            <w:sz w:val="28"/>
            <w:szCs w:val="28"/>
          </w:rPr>
          <w:t xml:space="preserve">абзацах </w:t>
        </w:r>
      </w:hyperlink>
      <w:r>
        <w:rPr>
          <w:rFonts w:ascii="Times New Roman" w:hAnsi="Times New Roman"/>
          <w:sz w:val="28"/>
          <w:szCs w:val="28"/>
        </w:rPr>
        <w:t xml:space="preserve">третьем - </w:t>
      </w:r>
      <w:hyperlink w:anchor="Par4" w:tooltip="#Par4" w:history="1">
        <w:r>
          <w:rPr>
            <w:rFonts w:ascii="Times New Roman" w:hAnsi="Times New Roman"/>
            <w:sz w:val="28"/>
            <w:szCs w:val="28"/>
          </w:rPr>
          <w:t>пятом</w:t>
        </w:r>
      </w:hyperlink>
      <w:r>
        <w:rPr>
          <w:rFonts w:ascii="Times New Roman" w:hAnsi="Times New Roman"/>
          <w:sz w:val="28"/>
          <w:szCs w:val="28"/>
        </w:rPr>
        <w:t xml:space="preserve"> настоящего подпункта, утверждается приказом министерства.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Средства гранта на развитие материально-технической базы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Не допускается приобретение за счет средств гранта на развитие материально-технической базы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грант на развитие материально-технической базы начинающего сельскохозяйственного потребительского кооператива предоставляется на осуществление следующих расходов: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964BC6" w:rsidRDefault="00CB34DE">
      <w:pPr>
        <w:spacing w:after="0" w:line="240" w:lineRule="auto"/>
        <w:ind w:firstLine="709"/>
        <w:jc w:val="both"/>
        <w:rPr>
          <w:rFonts w:ascii="Times New Roman" w:hAnsi="Times New Roman"/>
          <w:sz w:val="28"/>
          <w:szCs w:val="28"/>
        </w:rPr>
      </w:pPr>
      <w:bookmarkStart w:id="4" w:name="Par1"/>
      <w:bookmarkEnd w:id="4"/>
      <w:r>
        <w:rPr>
          <w:rFonts w:ascii="Times New Roman" w:hAnsi="Times New Roman"/>
          <w:sz w:val="28"/>
          <w:szCs w:val="28"/>
        </w:rP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и монтаж оборудования для рыбоводной инфраструктуры и товарной аквакультуры (товарного рыбоводства);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доставка оборудования, указанного в </w:t>
      </w:r>
      <w:hyperlink w:anchor="Par1" w:tooltip="#Par1" w:history="1">
        <w:r>
          <w:rPr>
            <w:rFonts w:ascii="Times New Roman" w:hAnsi="Times New Roman"/>
            <w:sz w:val="28"/>
            <w:szCs w:val="28"/>
          </w:rPr>
          <w:t>абзацах третьем</w:t>
        </w:r>
      </w:hyperlink>
      <w:r>
        <w:rPr>
          <w:rFonts w:ascii="Times New Roman" w:hAnsi="Times New Roman"/>
          <w:sz w:val="28"/>
          <w:szCs w:val="28"/>
        </w:rPr>
        <w:t xml:space="preserve"> - </w:t>
      </w:r>
      <w:hyperlink w:anchor="Par3" w:tooltip="#Par3" w:history="1">
        <w:r>
          <w:rPr>
            <w:rFonts w:ascii="Times New Roman" w:hAnsi="Times New Roman"/>
            <w:sz w:val="28"/>
            <w:szCs w:val="28"/>
          </w:rPr>
          <w:t>пятом</w:t>
        </w:r>
      </w:hyperlink>
      <w:r>
        <w:rPr>
          <w:rFonts w:ascii="Times New Roman" w:hAnsi="Times New Roman"/>
          <w:sz w:val="28"/>
          <w:szCs w:val="28"/>
        </w:rPr>
        <w:t xml:space="preserve"> настоящего подпункта;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оборудования, указанного в </w:t>
      </w:r>
      <w:hyperlink w:anchor="Par2" w:tooltip="#Par2" w:history="1">
        <w:r>
          <w:rPr>
            <w:rFonts w:ascii="Times New Roman" w:hAnsi="Times New Roman"/>
            <w:sz w:val="28"/>
            <w:szCs w:val="28"/>
          </w:rPr>
          <w:t>абзацах третьем</w:t>
        </w:r>
      </w:hyperlink>
      <w:r>
        <w:rPr>
          <w:rFonts w:ascii="Times New Roman" w:hAnsi="Times New Roman"/>
          <w:sz w:val="28"/>
          <w:szCs w:val="28"/>
        </w:rPr>
        <w:t xml:space="preserve"> - </w:t>
      </w:r>
      <w:hyperlink w:anchor="Par4" w:tooltip="#Par4" w:history="1">
        <w:r>
          <w:rPr>
            <w:rFonts w:ascii="Times New Roman" w:hAnsi="Times New Roman"/>
            <w:sz w:val="28"/>
            <w:szCs w:val="28"/>
          </w:rPr>
          <w:t>пятом</w:t>
        </w:r>
      </w:hyperlink>
      <w:r>
        <w:rPr>
          <w:rFonts w:ascii="Times New Roman" w:hAnsi="Times New Roman"/>
          <w:sz w:val="28"/>
          <w:szCs w:val="28"/>
        </w:rPr>
        <w:t xml:space="preserve"> настоящего подпункта, утверждается приказом министерства.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Средства гранта на развитие материально-технической базы начинающего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Приобретение начинающим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Не допускается приобретение за счет средств гранта на развитие материально-технической базы начинающего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4) грант «Агропрогресс» предоставляется на реализацию проекта «Агропрогресс».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Средства гранта «Агропрогресс» не предоставляются на финансовое обеспечение части затрат на закладку и (или) уход за виноградниками.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Не допускается приобретение за счет средств гранта «Агропрогресс» имущества, ранее приобретенного продавцом с использованием средств государственной поддержки.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7. Устанавливаются следующие результаты, в целях достижения которых предоставляются гранты (далее - результаты предоставления грантов):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по направлениям государственной поддержки, предусмотренным </w:t>
      </w:r>
      <w:hyperlink r:id="rId21" w:tooltip="https://login.consultant.ru/link/?req=doc&amp;base=RLAW049&amp;n=171672&amp;dst=125097" w:history="1">
        <w:r>
          <w:rPr>
            <w:rFonts w:ascii="Times New Roman" w:hAnsi="Times New Roman"/>
            <w:sz w:val="28"/>
            <w:szCs w:val="28"/>
          </w:rPr>
          <w:t>подпунктами 1</w:t>
        </w:r>
      </w:hyperlink>
      <w:r>
        <w:rPr>
          <w:rFonts w:ascii="Times New Roman" w:hAnsi="Times New Roman"/>
          <w:sz w:val="28"/>
          <w:szCs w:val="28"/>
        </w:rPr>
        <w:t xml:space="preserve">, </w:t>
      </w:r>
      <w:hyperlink r:id="rId22" w:tooltip="https://login.consultant.ru/link/?req=doc&amp;base=RLAW049&amp;n=171672&amp;dst=153918" w:history="1">
        <w:r>
          <w:rPr>
            <w:rFonts w:ascii="Times New Roman" w:hAnsi="Times New Roman"/>
            <w:sz w:val="28"/>
            <w:szCs w:val="28"/>
          </w:rPr>
          <w:t>4 пункта 5</w:t>
        </w:r>
      </w:hyperlink>
      <w:r>
        <w:rPr>
          <w:rFonts w:ascii="Times New Roman" w:hAnsi="Times New Roman"/>
          <w:sz w:val="28"/>
          <w:szCs w:val="28"/>
        </w:rPr>
        <w:t xml:space="preserve"> настоящего Порядка: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новых постоянных рабочих мест, созданных грантополучателем, осуществившим проект создания и развития своего хозяйства с помощью гранта (единиц);</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прирост объема сельскохозяйственной продукции, произведенной грантополучателем, в отчетном году по отношению к предыдущему году (процентов);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 направлениям государственной поддержки, предусмотренным </w:t>
      </w:r>
      <w:hyperlink r:id="rId23" w:tooltip="https://login.consultant.ru/link/?req=doc&amp;base=RLAW049&amp;n=171672&amp;dst=125098" w:history="1">
        <w:r>
          <w:rPr>
            <w:rFonts w:ascii="Times New Roman" w:hAnsi="Times New Roman"/>
            <w:sz w:val="28"/>
            <w:szCs w:val="28"/>
          </w:rPr>
          <w:t>подпунктами 2, 3 пункта 5</w:t>
        </w:r>
      </w:hyperlink>
      <w:r>
        <w:rPr>
          <w:rFonts w:ascii="Times New Roman" w:hAnsi="Times New Roman"/>
          <w:sz w:val="28"/>
          <w:szCs w:val="28"/>
        </w:rPr>
        <w:t xml:space="preserve"> настоящего Порядка: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новых постоянных рабочих мест, созданных грантополучателем (единиц);</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прирост объема продукции, реализованной грантополучателем, в отчетном году по отношению к предыдущему году (процентов).</w:t>
      </w:r>
    </w:p>
    <w:p w:rsidR="00964BC6" w:rsidRDefault="00964BC6">
      <w:pPr>
        <w:spacing w:after="0" w:line="240" w:lineRule="auto"/>
        <w:ind w:firstLine="709"/>
        <w:jc w:val="both"/>
        <w:rPr>
          <w:rFonts w:ascii="Times New Roman" w:hAnsi="Times New Roman"/>
          <w:sz w:val="28"/>
          <w:szCs w:val="28"/>
        </w:rPr>
      </w:pPr>
    </w:p>
    <w:p w:rsidR="00964BC6" w:rsidRDefault="00CB34DE">
      <w:pPr>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II. Условия и порядок предоставления грантов</w:t>
      </w:r>
    </w:p>
    <w:p w:rsidR="00964BC6" w:rsidRDefault="00964BC6">
      <w:pPr>
        <w:spacing w:after="0" w:line="240" w:lineRule="auto"/>
        <w:ind w:firstLine="709"/>
        <w:jc w:val="both"/>
        <w:rPr>
          <w:rFonts w:ascii="Times New Roman" w:hAnsi="Times New Roman"/>
          <w:sz w:val="28"/>
          <w:szCs w:val="28"/>
        </w:rPr>
      </w:pP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8. Грант предоставляется грантополучателю в размере:</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по направлению государственной поддержки, предусмотренному </w:t>
      </w:r>
      <w:hyperlink r:id="rId24" w:tooltip="https://login.consultant.ru/link/?req=doc&amp;base=RLAW049&amp;n=171672&amp;dst=125097" w:history="1">
        <w:r>
          <w:rPr>
            <w:rFonts w:ascii="Times New Roman" w:hAnsi="Times New Roman"/>
            <w:sz w:val="28"/>
            <w:szCs w:val="28"/>
          </w:rPr>
          <w:t>подпунктом 1</w:t>
        </w:r>
      </w:hyperlink>
      <w:hyperlink r:id="rId25" w:tooltip="https://login.consultant.ru/link/?req=doc&amp;base=RLAW049&amp;n=171672&amp;dst=153918" w:history="1">
        <w:r>
          <w:rPr>
            <w:rFonts w:ascii="Times New Roman" w:hAnsi="Times New Roman"/>
            <w:sz w:val="28"/>
            <w:szCs w:val="28"/>
          </w:rPr>
          <w:t xml:space="preserve"> пункта 5</w:t>
        </w:r>
      </w:hyperlink>
      <w:r>
        <w:rPr>
          <w:rFonts w:ascii="Times New Roman" w:hAnsi="Times New Roman"/>
          <w:sz w:val="28"/>
          <w:szCs w:val="28"/>
        </w:rPr>
        <w:t xml:space="preserve">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w:t>
      </w:r>
      <w:r>
        <w:rPr>
          <w:rFonts w:ascii="Times New Roman" w:hAnsi="Times New Roman"/>
          <w:sz w:val="28"/>
          <w:szCs w:val="28"/>
          <w:vertAlign w:val="subscript"/>
        </w:rPr>
        <w:t>сжф</w:t>
      </w:r>
      <w:r>
        <w:rPr>
          <w:rFonts w:ascii="Times New Roman" w:hAnsi="Times New Roman"/>
          <w:sz w:val="28"/>
          <w:szCs w:val="28"/>
        </w:rPr>
        <w:t>), определяется региональной конкурсной комиссией на основании представленного грантополучателем плана расходов и рассчитывается по формуле:</w:t>
      </w:r>
    </w:p>
    <w:tbl>
      <w:tblPr>
        <w:tblW w:w="0" w:type="auto"/>
        <w:tblInd w:w="3261" w:type="dxa"/>
        <w:tblLook w:val="04A0" w:firstRow="1" w:lastRow="0" w:firstColumn="1" w:lastColumn="0" w:noHBand="0" w:noVBand="1"/>
      </w:tblPr>
      <w:tblGrid>
        <w:gridCol w:w="1242"/>
        <w:gridCol w:w="1276"/>
        <w:gridCol w:w="354"/>
      </w:tblGrid>
      <w:tr w:rsidR="00964BC6">
        <w:tc>
          <w:tcPr>
            <w:tcW w:w="1242"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сжф</w:t>
            </w:r>
            <w:r>
              <w:rPr>
                <w:rFonts w:ascii="Times New Roman" w:hAnsi="Times New Roman"/>
                <w:sz w:val="28"/>
                <w:szCs w:val="28"/>
              </w:rPr>
              <w:t xml:space="preserve"> = </w:t>
            </w:r>
          </w:p>
        </w:tc>
        <w:tc>
          <w:tcPr>
            <w:tcW w:w="1276" w:type="dxa"/>
            <w:tcBorders>
              <w:bottom w:val="single" w:sz="4" w:space="0" w:color="000000"/>
            </w:tcBorders>
            <w:vAlign w:val="bottom"/>
          </w:tcPr>
          <w:p w:rsidR="00964BC6" w:rsidRDefault="00CB34DE">
            <w:pPr>
              <w:jc w:val="center"/>
              <w:rPr>
                <w:rFonts w:ascii="Times New Roman" w:hAnsi="Times New Roman"/>
                <w:sz w:val="28"/>
                <w:szCs w:val="28"/>
              </w:rPr>
            </w:pPr>
            <w:r>
              <w:rPr>
                <w:rFonts w:ascii="Times New Roman" w:hAnsi="Times New Roman"/>
                <w:sz w:val="28"/>
                <w:szCs w:val="28"/>
              </w:rPr>
              <w:t>Р х 60%</w:t>
            </w:r>
          </w:p>
        </w:tc>
        <w:tc>
          <w:tcPr>
            <w:tcW w:w="354"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w:t>
            </w:r>
          </w:p>
        </w:tc>
      </w:tr>
      <w:tr w:rsidR="00964BC6">
        <w:tc>
          <w:tcPr>
            <w:tcW w:w="1242" w:type="dxa"/>
            <w:vMerge/>
          </w:tcPr>
          <w:p w:rsidR="00964BC6" w:rsidRDefault="00964BC6">
            <w:pPr>
              <w:rPr>
                <w:rFonts w:ascii="Times New Roman" w:hAnsi="Times New Roman"/>
                <w:sz w:val="28"/>
                <w:szCs w:val="28"/>
              </w:rPr>
            </w:pPr>
          </w:p>
        </w:tc>
        <w:tc>
          <w:tcPr>
            <w:tcW w:w="1276" w:type="dxa"/>
            <w:tcBorders>
              <w:top w:val="single" w:sz="4" w:space="0" w:color="000000"/>
            </w:tcBorders>
          </w:tcPr>
          <w:p w:rsidR="00964BC6" w:rsidRDefault="00CB34DE">
            <w:pPr>
              <w:jc w:val="center"/>
              <w:rPr>
                <w:rFonts w:ascii="Times New Roman" w:hAnsi="Times New Roman"/>
                <w:sz w:val="28"/>
                <w:szCs w:val="28"/>
              </w:rPr>
            </w:pPr>
            <w:r>
              <w:rPr>
                <w:rFonts w:ascii="Times New Roman" w:hAnsi="Times New Roman"/>
                <w:sz w:val="28"/>
                <w:szCs w:val="28"/>
              </w:rPr>
              <w:t>100%</w:t>
            </w:r>
          </w:p>
        </w:tc>
        <w:tc>
          <w:tcPr>
            <w:tcW w:w="354" w:type="dxa"/>
            <w:vMerge/>
          </w:tcPr>
          <w:p w:rsidR="00964BC6" w:rsidRDefault="00964BC6">
            <w:pPr>
              <w:rPr>
                <w:rFonts w:ascii="Times New Roman" w:hAnsi="Times New Roman"/>
                <w:sz w:val="28"/>
                <w:szCs w:val="28"/>
              </w:rPr>
            </w:pPr>
          </w:p>
        </w:tc>
      </w:tr>
    </w:tbl>
    <w:p w:rsidR="00964BC6" w:rsidRDefault="00CB34DE">
      <w:pPr>
        <w:ind w:firstLine="709"/>
        <w:jc w:val="both"/>
        <w:rPr>
          <w:rFonts w:ascii="Times New Roman" w:hAnsi="Times New Roman"/>
          <w:sz w:val="28"/>
          <w:szCs w:val="28"/>
        </w:rPr>
      </w:pPr>
      <w:r>
        <w:rPr>
          <w:rFonts w:ascii="Times New Roman" w:hAnsi="Times New Roman"/>
          <w:sz w:val="28"/>
          <w:szCs w:val="28"/>
        </w:rPr>
        <w:t>где:</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сжф</w:t>
      </w:r>
      <w:r>
        <w:rPr>
          <w:rFonts w:ascii="Times New Roman" w:hAnsi="Times New Roman"/>
          <w:sz w:val="28"/>
          <w:szCs w:val="28"/>
        </w:rPr>
        <w:t xml:space="preserve"> - размер гранта на развитие семейной фермы в расчете на одно крестьянское (фермерское) хозяйство, который не должен превышать 60 процентов стоимости проекта грантополучателя. При этом часть затрат семейной фермы (не более 20 процентов) может быть обеспечена за счет средств Новосибирской области;</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Р - размер затрат.</w:t>
      </w:r>
    </w:p>
    <w:p w:rsidR="00964BC6" w:rsidRDefault="00964BC6">
      <w:pPr>
        <w:spacing w:before="280"/>
        <w:ind w:firstLine="709"/>
        <w:contextualSpacing/>
        <w:jc w:val="both"/>
        <w:rPr>
          <w:rFonts w:ascii="Times New Roman" w:hAnsi="Times New Roman"/>
          <w:sz w:val="28"/>
          <w:szCs w:val="28"/>
        </w:rPr>
      </w:pP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 xml:space="preserve">При использовании средств гранта на цели, указанные в </w:t>
      </w:r>
      <w:hyperlink r:id="rId26" w:tooltip="https://login.consultant.ru/link/?req=doc&amp;base=RLAW049&amp;n=164139&amp;dst=177129" w:history="1">
        <w:r>
          <w:rPr>
            <w:rFonts w:ascii="Times New Roman" w:hAnsi="Times New Roman"/>
            <w:sz w:val="28"/>
            <w:szCs w:val="28"/>
          </w:rPr>
          <w:t>абзаце шестом подпункта 1 пункта 6</w:t>
        </w:r>
      </w:hyperlink>
      <w:r>
        <w:rPr>
          <w:rFonts w:ascii="Times New Roman" w:hAnsi="Times New Roman"/>
          <w:sz w:val="28"/>
          <w:szCs w:val="28"/>
        </w:rPr>
        <w:t xml:space="preserve"> настоящего Порядка, размер гранта рассчитывается по формуле:</w:t>
      </w:r>
    </w:p>
    <w:tbl>
      <w:tblPr>
        <w:tblW w:w="0" w:type="auto"/>
        <w:tblInd w:w="3261" w:type="dxa"/>
        <w:tblLook w:val="04A0" w:firstRow="1" w:lastRow="0" w:firstColumn="1" w:lastColumn="0" w:noHBand="0" w:noVBand="1"/>
      </w:tblPr>
      <w:tblGrid>
        <w:gridCol w:w="1242"/>
        <w:gridCol w:w="1276"/>
        <w:gridCol w:w="354"/>
      </w:tblGrid>
      <w:tr w:rsidR="00964BC6">
        <w:tc>
          <w:tcPr>
            <w:tcW w:w="1242"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сжф</w:t>
            </w:r>
            <w:r>
              <w:rPr>
                <w:rFonts w:ascii="Times New Roman" w:hAnsi="Times New Roman"/>
                <w:sz w:val="28"/>
                <w:szCs w:val="28"/>
              </w:rPr>
              <w:t xml:space="preserve"> = </w:t>
            </w:r>
          </w:p>
        </w:tc>
        <w:tc>
          <w:tcPr>
            <w:tcW w:w="1276" w:type="dxa"/>
            <w:tcBorders>
              <w:bottom w:val="single" w:sz="4" w:space="0" w:color="000000"/>
            </w:tcBorders>
            <w:vAlign w:val="bottom"/>
          </w:tcPr>
          <w:p w:rsidR="00964BC6" w:rsidRDefault="00CB34DE">
            <w:pPr>
              <w:jc w:val="center"/>
              <w:rPr>
                <w:rFonts w:ascii="Times New Roman" w:hAnsi="Times New Roman"/>
                <w:sz w:val="28"/>
                <w:szCs w:val="28"/>
              </w:rPr>
            </w:pPr>
            <w:r>
              <w:rPr>
                <w:rFonts w:ascii="Times New Roman" w:hAnsi="Times New Roman"/>
                <w:sz w:val="28"/>
                <w:szCs w:val="28"/>
              </w:rPr>
              <w:t>Р х 80%</w:t>
            </w:r>
          </w:p>
        </w:tc>
        <w:tc>
          <w:tcPr>
            <w:tcW w:w="354"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w:t>
            </w:r>
          </w:p>
        </w:tc>
      </w:tr>
      <w:tr w:rsidR="00964BC6">
        <w:tc>
          <w:tcPr>
            <w:tcW w:w="1242" w:type="dxa"/>
            <w:vMerge/>
          </w:tcPr>
          <w:p w:rsidR="00964BC6" w:rsidRDefault="00964BC6">
            <w:pPr>
              <w:rPr>
                <w:rFonts w:ascii="Times New Roman" w:hAnsi="Times New Roman"/>
                <w:sz w:val="28"/>
                <w:szCs w:val="28"/>
              </w:rPr>
            </w:pPr>
          </w:p>
        </w:tc>
        <w:tc>
          <w:tcPr>
            <w:tcW w:w="1276" w:type="dxa"/>
            <w:tcBorders>
              <w:top w:val="single" w:sz="4" w:space="0" w:color="000000"/>
            </w:tcBorders>
          </w:tcPr>
          <w:p w:rsidR="00964BC6" w:rsidRDefault="00CB34DE">
            <w:pPr>
              <w:jc w:val="center"/>
              <w:rPr>
                <w:rFonts w:ascii="Times New Roman" w:hAnsi="Times New Roman"/>
                <w:sz w:val="28"/>
                <w:szCs w:val="28"/>
              </w:rPr>
            </w:pPr>
            <w:r>
              <w:rPr>
                <w:rFonts w:ascii="Times New Roman" w:hAnsi="Times New Roman"/>
                <w:sz w:val="28"/>
                <w:szCs w:val="28"/>
              </w:rPr>
              <w:t>100%</w:t>
            </w:r>
          </w:p>
        </w:tc>
        <w:tc>
          <w:tcPr>
            <w:tcW w:w="354" w:type="dxa"/>
            <w:vMerge/>
          </w:tcPr>
          <w:p w:rsidR="00964BC6" w:rsidRDefault="00964BC6">
            <w:pPr>
              <w:rPr>
                <w:rFonts w:ascii="Times New Roman" w:hAnsi="Times New Roman"/>
                <w:sz w:val="28"/>
                <w:szCs w:val="28"/>
              </w:rPr>
            </w:pPr>
          </w:p>
        </w:tc>
      </w:tr>
    </w:tbl>
    <w:p w:rsidR="00964BC6" w:rsidRDefault="00CB34DE">
      <w:pPr>
        <w:ind w:firstLine="709"/>
        <w:jc w:val="both"/>
        <w:rPr>
          <w:rFonts w:ascii="Times New Roman" w:hAnsi="Times New Roman"/>
          <w:sz w:val="28"/>
          <w:szCs w:val="28"/>
        </w:rPr>
      </w:pPr>
      <w:r>
        <w:rPr>
          <w:rFonts w:ascii="Times New Roman" w:hAnsi="Times New Roman"/>
          <w:sz w:val="28"/>
          <w:szCs w:val="28"/>
        </w:rPr>
        <w:t>где:</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сжф</w:t>
      </w:r>
      <w:r>
        <w:rPr>
          <w:rFonts w:ascii="Times New Roman" w:hAnsi="Times New Roman"/>
          <w:sz w:val="28"/>
          <w:szCs w:val="28"/>
        </w:rPr>
        <w:t xml:space="preserve"> - размер гранта на развитие семейной фермы в расчете на одно крестьянское (фермерское) хозяйство, который не должен превышать 80 процентов стоимости проекта грантополучателя;</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Р - размер затрат;</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 направлению государственной поддержки, предусмотренному </w:t>
      </w:r>
      <w:hyperlink r:id="rId27" w:tooltip="https://login.consultant.ru/link/?req=doc&amp;base=RLAW049&amp;n=171672&amp;dst=125097" w:history="1">
        <w:r>
          <w:rPr>
            <w:rFonts w:ascii="Times New Roman" w:hAnsi="Times New Roman"/>
            <w:sz w:val="28"/>
            <w:szCs w:val="28"/>
          </w:rPr>
          <w:t>подпунктом 2</w:t>
        </w:r>
      </w:hyperlink>
      <w:hyperlink r:id="rId28" w:tooltip="https://login.consultant.ru/link/?req=doc&amp;base=RLAW049&amp;n=171672&amp;dst=153918" w:history="1">
        <w:r>
          <w:rPr>
            <w:rFonts w:ascii="Times New Roman" w:hAnsi="Times New Roman"/>
            <w:sz w:val="28"/>
            <w:szCs w:val="28"/>
          </w:rPr>
          <w:t xml:space="preserve"> пункта 5</w:t>
        </w:r>
      </w:hyperlink>
      <w:r>
        <w:rPr>
          <w:rFonts w:ascii="Times New Roman" w:hAnsi="Times New Roman"/>
          <w:sz w:val="28"/>
          <w:szCs w:val="28"/>
        </w:rPr>
        <w:t xml:space="preserve">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w:t>
      </w:r>
      <w:r>
        <w:rPr>
          <w:rFonts w:ascii="Times New Roman" w:hAnsi="Times New Roman"/>
          <w:sz w:val="28"/>
          <w:szCs w:val="28"/>
          <w:vertAlign w:val="subscript"/>
        </w:rPr>
        <w:t>СПоК</w:t>
      </w:r>
      <w:r>
        <w:rPr>
          <w:rFonts w:ascii="Times New Roman" w:hAnsi="Times New Roman"/>
          <w:sz w:val="28"/>
          <w:szCs w:val="28"/>
        </w:rP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964BC6" w:rsidRDefault="00964BC6">
      <w:pPr>
        <w:spacing w:after="0" w:line="240" w:lineRule="auto"/>
        <w:ind w:firstLine="709"/>
        <w:jc w:val="both"/>
        <w:rPr>
          <w:rFonts w:ascii="Times New Roman" w:hAnsi="Times New Roman"/>
          <w:sz w:val="28"/>
          <w:szCs w:val="28"/>
        </w:rPr>
      </w:pPr>
    </w:p>
    <w:tbl>
      <w:tblPr>
        <w:tblW w:w="0" w:type="auto"/>
        <w:tblInd w:w="3261" w:type="dxa"/>
        <w:tblLook w:val="04A0" w:firstRow="1" w:lastRow="0" w:firstColumn="1" w:lastColumn="0" w:noHBand="0" w:noVBand="1"/>
      </w:tblPr>
      <w:tblGrid>
        <w:gridCol w:w="1242"/>
        <w:gridCol w:w="1276"/>
        <w:gridCol w:w="354"/>
      </w:tblGrid>
      <w:tr w:rsidR="00964BC6">
        <w:tc>
          <w:tcPr>
            <w:tcW w:w="1242"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СПоК</w:t>
            </w:r>
            <w:r>
              <w:rPr>
                <w:rFonts w:ascii="Times New Roman" w:hAnsi="Times New Roman"/>
                <w:sz w:val="28"/>
                <w:szCs w:val="28"/>
              </w:rPr>
              <w:t xml:space="preserve"> = </w:t>
            </w:r>
          </w:p>
        </w:tc>
        <w:tc>
          <w:tcPr>
            <w:tcW w:w="1276" w:type="dxa"/>
            <w:tcBorders>
              <w:bottom w:val="single" w:sz="4" w:space="0" w:color="000000"/>
            </w:tcBorders>
            <w:vAlign w:val="bottom"/>
          </w:tcPr>
          <w:p w:rsidR="00964BC6" w:rsidRDefault="00CB34DE">
            <w:pPr>
              <w:jc w:val="center"/>
              <w:rPr>
                <w:rFonts w:ascii="Times New Roman" w:hAnsi="Times New Roman"/>
                <w:sz w:val="28"/>
                <w:szCs w:val="28"/>
              </w:rPr>
            </w:pPr>
            <w:r>
              <w:rPr>
                <w:rFonts w:ascii="Times New Roman" w:hAnsi="Times New Roman"/>
                <w:sz w:val="28"/>
                <w:szCs w:val="28"/>
              </w:rPr>
              <w:t>Р х 60%</w:t>
            </w:r>
          </w:p>
        </w:tc>
        <w:tc>
          <w:tcPr>
            <w:tcW w:w="354"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w:t>
            </w:r>
          </w:p>
        </w:tc>
      </w:tr>
      <w:tr w:rsidR="00964BC6">
        <w:tc>
          <w:tcPr>
            <w:tcW w:w="1242" w:type="dxa"/>
            <w:vMerge/>
          </w:tcPr>
          <w:p w:rsidR="00964BC6" w:rsidRDefault="00964BC6">
            <w:pPr>
              <w:rPr>
                <w:rFonts w:ascii="Times New Roman" w:hAnsi="Times New Roman"/>
                <w:sz w:val="28"/>
                <w:szCs w:val="28"/>
              </w:rPr>
            </w:pPr>
          </w:p>
        </w:tc>
        <w:tc>
          <w:tcPr>
            <w:tcW w:w="1276" w:type="dxa"/>
            <w:tcBorders>
              <w:top w:val="single" w:sz="4" w:space="0" w:color="000000"/>
            </w:tcBorders>
          </w:tcPr>
          <w:p w:rsidR="00964BC6" w:rsidRDefault="00CB34DE">
            <w:pPr>
              <w:jc w:val="center"/>
              <w:rPr>
                <w:rFonts w:ascii="Times New Roman" w:hAnsi="Times New Roman"/>
                <w:sz w:val="28"/>
                <w:szCs w:val="28"/>
              </w:rPr>
            </w:pPr>
            <w:r>
              <w:rPr>
                <w:rFonts w:ascii="Times New Roman" w:hAnsi="Times New Roman"/>
                <w:sz w:val="28"/>
                <w:szCs w:val="28"/>
              </w:rPr>
              <w:t>100%</w:t>
            </w:r>
          </w:p>
        </w:tc>
        <w:tc>
          <w:tcPr>
            <w:tcW w:w="354" w:type="dxa"/>
            <w:vMerge/>
          </w:tcPr>
          <w:p w:rsidR="00964BC6" w:rsidRDefault="00964BC6">
            <w:pPr>
              <w:rPr>
                <w:rFonts w:ascii="Times New Roman" w:hAnsi="Times New Roman"/>
                <w:sz w:val="28"/>
                <w:szCs w:val="28"/>
              </w:rPr>
            </w:pPr>
          </w:p>
        </w:tc>
      </w:tr>
    </w:tbl>
    <w:p w:rsidR="00964BC6" w:rsidRDefault="00CB34DE">
      <w:pPr>
        <w:ind w:firstLine="709"/>
        <w:contextualSpacing/>
        <w:jc w:val="both"/>
        <w:rPr>
          <w:rFonts w:ascii="Times New Roman" w:hAnsi="Times New Roman"/>
          <w:sz w:val="28"/>
          <w:szCs w:val="28"/>
        </w:rPr>
      </w:pPr>
      <w:r>
        <w:rPr>
          <w:rFonts w:ascii="Times New Roman" w:hAnsi="Times New Roman"/>
          <w:sz w:val="28"/>
          <w:szCs w:val="28"/>
        </w:rPr>
        <w:t>где:</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СПоК</w:t>
      </w:r>
      <w:r>
        <w:rPr>
          <w:rFonts w:ascii="Times New Roman" w:hAnsi="Times New Roman"/>
          <w:sz w:val="28"/>
          <w:szCs w:val="28"/>
        </w:rP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60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Р - размер затрат.</w:t>
      </w:r>
    </w:p>
    <w:p w:rsidR="00964BC6" w:rsidRDefault="00964BC6">
      <w:pPr>
        <w:spacing w:before="280"/>
        <w:ind w:firstLine="709"/>
        <w:contextualSpacing/>
        <w:jc w:val="both"/>
        <w:rPr>
          <w:rFonts w:ascii="Times New Roman" w:hAnsi="Times New Roman"/>
          <w:sz w:val="28"/>
          <w:szCs w:val="28"/>
        </w:rPr>
      </w:pP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 xml:space="preserve">При использовании средств гранта на цели, указанные в </w:t>
      </w:r>
      <w:hyperlink r:id="rId29" w:tooltip="https://login.consultant.ru/link/?req=doc&amp;base=RLAW049&amp;n=164139&amp;dst=177130" w:history="1">
        <w:r>
          <w:rPr>
            <w:rFonts w:ascii="Times New Roman" w:hAnsi="Times New Roman"/>
            <w:sz w:val="28"/>
            <w:szCs w:val="28"/>
          </w:rPr>
          <w:t>абзаце седьмом подпункта 2 пункта 6</w:t>
        </w:r>
      </w:hyperlink>
      <w:r>
        <w:rPr>
          <w:rFonts w:ascii="Times New Roman" w:hAnsi="Times New Roman"/>
          <w:sz w:val="28"/>
          <w:szCs w:val="28"/>
        </w:rPr>
        <w:t xml:space="preserve"> настоящего Порядка, размер гранта рассчитывается по формуле:</w:t>
      </w:r>
    </w:p>
    <w:tbl>
      <w:tblPr>
        <w:tblW w:w="0" w:type="auto"/>
        <w:tblInd w:w="3261" w:type="dxa"/>
        <w:tblLook w:val="04A0" w:firstRow="1" w:lastRow="0" w:firstColumn="1" w:lastColumn="0" w:noHBand="0" w:noVBand="1"/>
      </w:tblPr>
      <w:tblGrid>
        <w:gridCol w:w="1242"/>
        <w:gridCol w:w="1276"/>
        <w:gridCol w:w="354"/>
      </w:tblGrid>
      <w:tr w:rsidR="00964BC6">
        <w:tc>
          <w:tcPr>
            <w:tcW w:w="1242"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СПоК</w:t>
            </w:r>
            <w:r>
              <w:rPr>
                <w:rFonts w:ascii="Times New Roman" w:hAnsi="Times New Roman"/>
                <w:sz w:val="28"/>
                <w:szCs w:val="28"/>
              </w:rPr>
              <w:t xml:space="preserve"> = </w:t>
            </w:r>
          </w:p>
        </w:tc>
        <w:tc>
          <w:tcPr>
            <w:tcW w:w="1276" w:type="dxa"/>
            <w:tcBorders>
              <w:bottom w:val="single" w:sz="4" w:space="0" w:color="000000"/>
            </w:tcBorders>
            <w:vAlign w:val="bottom"/>
          </w:tcPr>
          <w:p w:rsidR="00964BC6" w:rsidRDefault="00CB34DE">
            <w:pPr>
              <w:jc w:val="center"/>
              <w:rPr>
                <w:rFonts w:ascii="Times New Roman" w:hAnsi="Times New Roman"/>
                <w:sz w:val="28"/>
                <w:szCs w:val="28"/>
              </w:rPr>
            </w:pPr>
            <w:r>
              <w:rPr>
                <w:rFonts w:ascii="Times New Roman" w:hAnsi="Times New Roman"/>
                <w:sz w:val="28"/>
                <w:szCs w:val="28"/>
              </w:rPr>
              <w:t>Р х 80%</w:t>
            </w:r>
          </w:p>
        </w:tc>
        <w:tc>
          <w:tcPr>
            <w:tcW w:w="354"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w:t>
            </w:r>
          </w:p>
        </w:tc>
      </w:tr>
      <w:tr w:rsidR="00964BC6">
        <w:tc>
          <w:tcPr>
            <w:tcW w:w="1242" w:type="dxa"/>
            <w:vMerge/>
          </w:tcPr>
          <w:p w:rsidR="00964BC6" w:rsidRDefault="00964BC6">
            <w:pPr>
              <w:rPr>
                <w:rFonts w:ascii="Times New Roman" w:hAnsi="Times New Roman"/>
                <w:sz w:val="28"/>
                <w:szCs w:val="28"/>
              </w:rPr>
            </w:pPr>
          </w:p>
        </w:tc>
        <w:tc>
          <w:tcPr>
            <w:tcW w:w="1276" w:type="dxa"/>
            <w:tcBorders>
              <w:top w:val="single" w:sz="4" w:space="0" w:color="000000"/>
            </w:tcBorders>
          </w:tcPr>
          <w:p w:rsidR="00964BC6" w:rsidRDefault="00CB34DE">
            <w:pPr>
              <w:jc w:val="center"/>
              <w:rPr>
                <w:rFonts w:ascii="Times New Roman" w:hAnsi="Times New Roman"/>
                <w:sz w:val="28"/>
                <w:szCs w:val="28"/>
              </w:rPr>
            </w:pPr>
            <w:r>
              <w:rPr>
                <w:rFonts w:ascii="Times New Roman" w:hAnsi="Times New Roman"/>
                <w:sz w:val="28"/>
                <w:szCs w:val="28"/>
              </w:rPr>
              <w:t>100%</w:t>
            </w:r>
          </w:p>
        </w:tc>
        <w:tc>
          <w:tcPr>
            <w:tcW w:w="354" w:type="dxa"/>
            <w:vMerge/>
          </w:tcPr>
          <w:p w:rsidR="00964BC6" w:rsidRDefault="00964BC6">
            <w:pPr>
              <w:rPr>
                <w:rFonts w:ascii="Times New Roman" w:hAnsi="Times New Roman"/>
                <w:sz w:val="28"/>
                <w:szCs w:val="28"/>
              </w:rPr>
            </w:pPr>
          </w:p>
        </w:tc>
      </w:tr>
    </w:tbl>
    <w:p w:rsidR="00964BC6" w:rsidRDefault="00CB34DE">
      <w:pPr>
        <w:ind w:firstLine="709"/>
        <w:contextualSpacing/>
        <w:jc w:val="both"/>
        <w:rPr>
          <w:rFonts w:ascii="Times New Roman" w:hAnsi="Times New Roman"/>
          <w:sz w:val="28"/>
          <w:szCs w:val="28"/>
        </w:rPr>
      </w:pPr>
      <w:r>
        <w:rPr>
          <w:rFonts w:ascii="Times New Roman" w:hAnsi="Times New Roman"/>
          <w:sz w:val="28"/>
          <w:szCs w:val="28"/>
        </w:rPr>
        <w:t>где:</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СПоК</w:t>
      </w:r>
      <w:r>
        <w:rPr>
          <w:rFonts w:ascii="Times New Roman" w:hAnsi="Times New Roman"/>
          <w:sz w:val="28"/>
          <w:szCs w:val="28"/>
        </w:rP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80 процентов стоимости проекта грантополучателя;</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Р - размер затрат;</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 xml:space="preserve">3) по направлению государственной поддержки, предусмотренному </w:t>
      </w:r>
      <w:hyperlink r:id="rId30" w:tooltip="https://login.consultant.ru/link/?req=doc&amp;base=RLAW049&amp;n=171672&amp;dst=125097" w:history="1">
        <w:r>
          <w:rPr>
            <w:rFonts w:ascii="Times New Roman" w:hAnsi="Times New Roman"/>
            <w:sz w:val="28"/>
            <w:szCs w:val="28"/>
          </w:rPr>
          <w:t>подпунктом 3</w:t>
        </w:r>
      </w:hyperlink>
      <w:hyperlink r:id="rId31" w:tooltip="https://login.consultant.ru/link/?req=doc&amp;base=RLAW049&amp;n=171672&amp;dst=153918" w:history="1">
        <w:r>
          <w:rPr>
            <w:rFonts w:ascii="Times New Roman" w:hAnsi="Times New Roman"/>
            <w:sz w:val="28"/>
            <w:szCs w:val="28"/>
          </w:rPr>
          <w:t xml:space="preserve"> пункта 5</w:t>
        </w:r>
      </w:hyperlink>
      <w:r>
        <w:rPr>
          <w:rFonts w:ascii="Times New Roman" w:hAnsi="Times New Roman"/>
          <w:sz w:val="28"/>
          <w:szCs w:val="28"/>
        </w:rPr>
        <w:t xml:space="preserve"> настоящего Порядка, максимальный размер гранта составляет 10 млн рублей. Размер гранта, предоставляемого грантополучателю (Г</w:t>
      </w:r>
      <w:r>
        <w:rPr>
          <w:rFonts w:ascii="Times New Roman" w:hAnsi="Times New Roman"/>
          <w:sz w:val="28"/>
          <w:szCs w:val="28"/>
          <w:vertAlign w:val="subscript"/>
        </w:rPr>
        <w:t>НСПоК</w:t>
      </w:r>
      <w:r>
        <w:rPr>
          <w:rFonts w:ascii="Times New Roman" w:hAnsi="Times New Roman"/>
          <w:sz w:val="28"/>
          <w:szCs w:val="28"/>
        </w:rPr>
        <w:t>), определяется региональной конкурсной комиссией на основании представленного грантополучателем плана расходов и рассчитывается по формуле:</w:t>
      </w:r>
    </w:p>
    <w:tbl>
      <w:tblPr>
        <w:tblW w:w="0" w:type="auto"/>
        <w:tblInd w:w="3402" w:type="dxa"/>
        <w:tblLook w:val="04A0" w:firstRow="1" w:lastRow="0" w:firstColumn="1" w:lastColumn="0" w:noHBand="0" w:noVBand="1"/>
      </w:tblPr>
      <w:tblGrid>
        <w:gridCol w:w="1276"/>
        <w:gridCol w:w="1701"/>
        <w:gridCol w:w="286"/>
      </w:tblGrid>
      <w:tr w:rsidR="00964BC6">
        <w:tc>
          <w:tcPr>
            <w:tcW w:w="1276"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НСПоК</w:t>
            </w:r>
            <w:r>
              <w:rPr>
                <w:rFonts w:ascii="Times New Roman" w:hAnsi="Times New Roman"/>
                <w:sz w:val="28"/>
                <w:szCs w:val="28"/>
              </w:rPr>
              <w:t xml:space="preserve"> = </w:t>
            </w:r>
          </w:p>
        </w:tc>
        <w:tc>
          <w:tcPr>
            <w:tcW w:w="1701" w:type="dxa"/>
            <w:tcBorders>
              <w:bottom w:val="single" w:sz="4" w:space="0" w:color="000000"/>
            </w:tcBorders>
            <w:vAlign w:val="bottom"/>
          </w:tcPr>
          <w:p w:rsidR="00964BC6" w:rsidRDefault="00CB34DE">
            <w:pPr>
              <w:jc w:val="center"/>
              <w:rPr>
                <w:rFonts w:ascii="Times New Roman" w:hAnsi="Times New Roman"/>
                <w:sz w:val="28"/>
                <w:szCs w:val="28"/>
              </w:rPr>
            </w:pPr>
            <w:r>
              <w:rPr>
                <w:rFonts w:ascii="Times New Roman" w:hAnsi="Times New Roman"/>
                <w:sz w:val="28"/>
                <w:szCs w:val="28"/>
              </w:rPr>
              <w:t>Р х 80%</w:t>
            </w:r>
          </w:p>
        </w:tc>
        <w:tc>
          <w:tcPr>
            <w:tcW w:w="284"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w:t>
            </w:r>
          </w:p>
        </w:tc>
      </w:tr>
      <w:tr w:rsidR="00964BC6">
        <w:tc>
          <w:tcPr>
            <w:tcW w:w="1276" w:type="dxa"/>
            <w:vMerge/>
          </w:tcPr>
          <w:p w:rsidR="00964BC6" w:rsidRDefault="00964BC6">
            <w:pPr>
              <w:ind w:firstLine="709"/>
              <w:rPr>
                <w:rFonts w:ascii="Times New Roman" w:hAnsi="Times New Roman"/>
                <w:sz w:val="28"/>
                <w:szCs w:val="28"/>
              </w:rPr>
            </w:pPr>
          </w:p>
        </w:tc>
        <w:tc>
          <w:tcPr>
            <w:tcW w:w="1701" w:type="dxa"/>
            <w:tcBorders>
              <w:top w:val="single" w:sz="4" w:space="0" w:color="000000"/>
            </w:tcBorders>
          </w:tcPr>
          <w:p w:rsidR="00964BC6" w:rsidRDefault="00CB34DE">
            <w:pPr>
              <w:jc w:val="center"/>
              <w:rPr>
                <w:rFonts w:ascii="Times New Roman" w:hAnsi="Times New Roman"/>
                <w:sz w:val="28"/>
                <w:szCs w:val="28"/>
              </w:rPr>
            </w:pPr>
            <w:r>
              <w:rPr>
                <w:rFonts w:ascii="Times New Roman" w:hAnsi="Times New Roman"/>
                <w:sz w:val="28"/>
                <w:szCs w:val="28"/>
              </w:rPr>
              <w:t>100%</w:t>
            </w:r>
          </w:p>
        </w:tc>
        <w:tc>
          <w:tcPr>
            <w:tcW w:w="284" w:type="dxa"/>
            <w:vMerge/>
          </w:tcPr>
          <w:p w:rsidR="00964BC6" w:rsidRDefault="00964BC6">
            <w:pPr>
              <w:ind w:firstLine="709"/>
              <w:rPr>
                <w:rFonts w:ascii="Times New Roman" w:hAnsi="Times New Roman"/>
                <w:sz w:val="28"/>
                <w:szCs w:val="28"/>
              </w:rPr>
            </w:pPr>
          </w:p>
        </w:tc>
      </w:tr>
    </w:tbl>
    <w:p w:rsidR="00964BC6" w:rsidRDefault="00CB34DE">
      <w:pPr>
        <w:ind w:firstLine="709"/>
        <w:contextualSpacing/>
        <w:jc w:val="both"/>
        <w:rPr>
          <w:rFonts w:ascii="Times New Roman" w:hAnsi="Times New Roman"/>
          <w:sz w:val="28"/>
          <w:szCs w:val="28"/>
        </w:rPr>
      </w:pPr>
      <w:r>
        <w:rPr>
          <w:rFonts w:ascii="Times New Roman" w:hAnsi="Times New Roman"/>
          <w:sz w:val="28"/>
          <w:szCs w:val="28"/>
        </w:rPr>
        <w:t>где:</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НСПоК</w:t>
      </w:r>
      <w:r>
        <w:rPr>
          <w:rFonts w:ascii="Times New Roman" w:hAnsi="Times New Roman"/>
          <w:sz w:val="28"/>
          <w:szCs w:val="28"/>
        </w:rPr>
        <w:t xml:space="preserve"> - размер гранта на развитие материально-технической базы начинающего сельскохозяйственного потребительского кооператива в расчете на один начинающий сельскохозяйственный потребительский кооператив, который не должен превышать 80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Р - размер затрат;</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 xml:space="preserve">4) по направлению государственной поддержки, предусмотренному </w:t>
      </w:r>
      <w:hyperlink r:id="rId32" w:tooltip="https://login.consultant.ru/link/?req=doc&amp;base=RLAW049&amp;n=171672&amp;dst=125097" w:history="1">
        <w:r>
          <w:rPr>
            <w:rFonts w:ascii="Times New Roman" w:hAnsi="Times New Roman"/>
            <w:sz w:val="28"/>
            <w:szCs w:val="28"/>
          </w:rPr>
          <w:t>подпунктом 4</w:t>
        </w:r>
      </w:hyperlink>
      <w:hyperlink r:id="rId33" w:tooltip="https://login.consultant.ru/link/?req=doc&amp;base=RLAW049&amp;n=171672&amp;dst=153918" w:history="1">
        <w:r>
          <w:rPr>
            <w:rFonts w:ascii="Times New Roman" w:hAnsi="Times New Roman"/>
            <w:sz w:val="28"/>
            <w:szCs w:val="28"/>
          </w:rPr>
          <w:t xml:space="preserve"> пункта 5</w:t>
        </w:r>
      </w:hyperlink>
      <w:r>
        <w:rPr>
          <w:rFonts w:ascii="Times New Roman" w:hAnsi="Times New Roman"/>
          <w:sz w:val="28"/>
          <w:szCs w:val="28"/>
        </w:rPr>
        <w:t xml:space="preserve"> настоящего Порядка, максимальный размер гранта составляет 30 млн рублей. Размер гранта, предоставляемого грантополучателю (Г</w:t>
      </w:r>
      <w:r>
        <w:rPr>
          <w:rFonts w:ascii="Times New Roman" w:hAnsi="Times New Roman"/>
          <w:sz w:val="28"/>
          <w:szCs w:val="28"/>
          <w:vertAlign w:val="subscript"/>
        </w:rPr>
        <w:t>Агропрогресс</w:t>
      </w:r>
      <w:r>
        <w:rPr>
          <w:rFonts w:ascii="Times New Roman" w:hAnsi="Times New Roman"/>
          <w:sz w:val="28"/>
          <w:szCs w:val="28"/>
        </w:rPr>
        <w:t>), определяется региональной конкурсной комиссией на основании представленного грантополучателем плана расходов и рассчитывается по формуле:</w:t>
      </w:r>
    </w:p>
    <w:tbl>
      <w:tblPr>
        <w:tblW w:w="0" w:type="auto"/>
        <w:tblInd w:w="3261" w:type="dxa"/>
        <w:tblLook w:val="04A0" w:firstRow="1" w:lastRow="0" w:firstColumn="1" w:lastColumn="0" w:noHBand="0" w:noVBand="1"/>
      </w:tblPr>
      <w:tblGrid>
        <w:gridCol w:w="1701"/>
        <w:gridCol w:w="1276"/>
        <w:gridCol w:w="354"/>
      </w:tblGrid>
      <w:tr w:rsidR="00964BC6">
        <w:tc>
          <w:tcPr>
            <w:tcW w:w="1701"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Агропрогресс</w:t>
            </w:r>
            <w:r>
              <w:rPr>
                <w:rFonts w:ascii="Times New Roman" w:hAnsi="Times New Roman"/>
                <w:sz w:val="28"/>
                <w:szCs w:val="28"/>
              </w:rPr>
              <w:t xml:space="preserve"> = </w:t>
            </w:r>
          </w:p>
        </w:tc>
        <w:tc>
          <w:tcPr>
            <w:tcW w:w="1276" w:type="dxa"/>
            <w:tcBorders>
              <w:bottom w:val="single" w:sz="4" w:space="0" w:color="000000"/>
            </w:tcBorders>
            <w:vAlign w:val="bottom"/>
          </w:tcPr>
          <w:p w:rsidR="00964BC6" w:rsidRDefault="00CB34DE">
            <w:pPr>
              <w:jc w:val="center"/>
              <w:rPr>
                <w:rFonts w:ascii="Times New Roman" w:hAnsi="Times New Roman"/>
                <w:sz w:val="28"/>
                <w:szCs w:val="28"/>
              </w:rPr>
            </w:pPr>
            <w:r>
              <w:rPr>
                <w:rFonts w:ascii="Times New Roman" w:hAnsi="Times New Roman"/>
                <w:sz w:val="28"/>
                <w:szCs w:val="28"/>
              </w:rPr>
              <w:t>Р х 25%</w:t>
            </w:r>
          </w:p>
        </w:tc>
        <w:tc>
          <w:tcPr>
            <w:tcW w:w="354" w:type="dxa"/>
            <w:vMerge w:val="restart"/>
            <w:vAlign w:val="center"/>
          </w:tcPr>
          <w:p w:rsidR="00964BC6" w:rsidRDefault="00CB34DE">
            <w:pPr>
              <w:rPr>
                <w:rFonts w:ascii="Times New Roman" w:hAnsi="Times New Roman"/>
                <w:sz w:val="28"/>
                <w:szCs w:val="28"/>
              </w:rPr>
            </w:pPr>
            <w:r>
              <w:rPr>
                <w:rFonts w:ascii="Times New Roman" w:hAnsi="Times New Roman"/>
                <w:sz w:val="28"/>
                <w:szCs w:val="28"/>
              </w:rPr>
              <w:t>,</w:t>
            </w:r>
          </w:p>
        </w:tc>
      </w:tr>
      <w:tr w:rsidR="00964BC6">
        <w:tc>
          <w:tcPr>
            <w:tcW w:w="1701" w:type="dxa"/>
            <w:vMerge/>
          </w:tcPr>
          <w:p w:rsidR="00964BC6" w:rsidRDefault="00964BC6">
            <w:pPr>
              <w:rPr>
                <w:rFonts w:ascii="Times New Roman" w:hAnsi="Times New Roman"/>
                <w:sz w:val="28"/>
                <w:szCs w:val="28"/>
              </w:rPr>
            </w:pPr>
          </w:p>
        </w:tc>
        <w:tc>
          <w:tcPr>
            <w:tcW w:w="1276" w:type="dxa"/>
            <w:tcBorders>
              <w:top w:val="single" w:sz="4" w:space="0" w:color="000000"/>
            </w:tcBorders>
          </w:tcPr>
          <w:p w:rsidR="00964BC6" w:rsidRDefault="00CB34DE">
            <w:pPr>
              <w:jc w:val="center"/>
              <w:rPr>
                <w:rFonts w:ascii="Times New Roman" w:hAnsi="Times New Roman"/>
                <w:sz w:val="28"/>
                <w:szCs w:val="28"/>
              </w:rPr>
            </w:pPr>
            <w:r>
              <w:rPr>
                <w:rFonts w:ascii="Times New Roman" w:hAnsi="Times New Roman"/>
                <w:sz w:val="28"/>
                <w:szCs w:val="28"/>
              </w:rPr>
              <w:t>100%</w:t>
            </w:r>
          </w:p>
        </w:tc>
        <w:tc>
          <w:tcPr>
            <w:tcW w:w="354" w:type="dxa"/>
            <w:vMerge/>
          </w:tcPr>
          <w:p w:rsidR="00964BC6" w:rsidRDefault="00964BC6">
            <w:pPr>
              <w:rPr>
                <w:rFonts w:ascii="Times New Roman" w:hAnsi="Times New Roman"/>
                <w:sz w:val="28"/>
                <w:szCs w:val="28"/>
              </w:rPr>
            </w:pPr>
          </w:p>
        </w:tc>
      </w:tr>
    </w:tbl>
    <w:p w:rsidR="00964BC6" w:rsidRDefault="00CB34DE">
      <w:pPr>
        <w:ind w:firstLine="709"/>
        <w:jc w:val="both"/>
        <w:rPr>
          <w:rFonts w:ascii="Times New Roman" w:hAnsi="Times New Roman"/>
          <w:sz w:val="28"/>
          <w:szCs w:val="28"/>
        </w:rPr>
      </w:pPr>
      <w:r>
        <w:rPr>
          <w:rFonts w:ascii="Times New Roman" w:hAnsi="Times New Roman"/>
          <w:sz w:val="28"/>
          <w:szCs w:val="28"/>
        </w:rPr>
        <w:t>где:</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vertAlign w:val="subscript"/>
        </w:rPr>
        <w:t>Агропрогресс</w:t>
      </w:r>
      <w:r>
        <w:rPr>
          <w:rFonts w:ascii="Times New Roman" w:hAnsi="Times New Roman"/>
          <w:sz w:val="28"/>
          <w:szCs w:val="28"/>
        </w:rPr>
        <w:t xml:space="preserve"> – размер гранта «Агропрогресс» в расчете на одного грантополучателя, который не должен превышать 25 процентов стоимости проекта «Агропрогресс». При этом не менее 70 процентов стоимости проекта «Агропрогресс» должны быть обеспечены средствами привлекаемого на реализацию проекта инвестиционного кредита. Не менее 5 процентов стоимости проекта «Агропрогресс» должно быть обеспечено из собственных средств грантополучателя;</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Р - размер затрат.</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Размер грантов, предусмотренных настоящим пунктом, рассчитывается:</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для грантополучателей, являющихся плательщиками налога на добавленную стоимость, без учета налога на добавленную стоимость;</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 xml:space="preserve">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4" w:tooltip="https://login.consultant.ru/link/?req=doc&amp;base=LAW&amp;n=465521&amp;dst=100018" w:history="1">
        <w:r>
          <w:rPr>
            <w:rFonts w:ascii="Times New Roman" w:hAnsi="Times New Roman"/>
            <w:sz w:val="28"/>
            <w:szCs w:val="28"/>
          </w:rPr>
          <w:t>статьей 145</w:t>
        </w:r>
      </w:hyperlink>
      <w:r>
        <w:rPr>
          <w:rFonts w:ascii="Times New Roman" w:hAnsi="Times New Roman"/>
          <w:sz w:val="28"/>
          <w:szCs w:val="28"/>
        </w:rPr>
        <w:t xml:space="preserve"> Налогового кодекса Российской Федерации, размер гранта рассчитывается исходя из стоимости проекта грантополучателя, включая сумму налога на добавленную стоимость.</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«Агропрогресс» составляет не более 24 месяцев с даты его получения.</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10. Гранты предоставляются на конкурсной основе в соответствии с решением региональной конкурсной комиссии.</w:t>
      </w:r>
    </w:p>
    <w:p w:rsidR="00964BC6" w:rsidRDefault="00CB34DE">
      <w:pPr>
        <w:spacing w:before="280"/>
        <w:ind w:firstLine="709"/>
        <w:contextualSpacing/>
        <w:jc w:val="both"/>
        <w:rPr>
          <w:rFonts w:ascii="Times New Roman" w:hAnsi="Times New Roman"/>
          <w:sz w:val="28"/>
          <w:szCs w:val="28"/>
        </w:rPr>
      </w:pPr>
      <w:r>
        <w:rPr>
          <w:rFonts w:ascii="Times New Roman" w:hAnsi="Times New Roman"/>
          <w:sz w:val="28"/>
          <w:szCs w:val="28"/>
        </w:rPr>
        <w:t xml:space="preserve">Порядок организации и проведения конкурсного отбора на право получения грантов, требования к участникам конкурсного отбора, порядок подачи документов, необходимых для участия в конкурсном отборе, перечень таких документов, порядок создания, работы и полномочия региональной конкурсной комиссии, сроки и порядок рассмотрения и оценки заявок на участие в конкурсном отборе, основания для отклонения заявок, порядок определения победителей конкурсного отбора устанавливаются </w:t>
      </w:r>
      <w:hyperlink r:id="rId35" w:tooltip="https://login.consultant.ru/link/?req=doc&amp;base=RLAW049&amp;n=171672&amp;dst=133213" w:history="1">
        <w:r>
          <w:rPr>
            <w:rFonts w:ascii="Times New Roman" w:hAnsi="Times New Roman"/>
            <w:sz w:val="28"/>
            <w:szCs w:val="28"/>
          </w:rPr>
          <w:t>Положением</w:t>
        </w:r>
      </w:hyperlink>
      <w:r>
        <w:rPr>
          <w:rFonts w:ascii="Times New Roman" w:hAnsi="Times New Roman"/>
          <w:sz w:val="28"/>
          <w:szCs w:val="28"/>
        </w:rPr>
        <w:t xml:space="preserve"> о конкурсном отборе.</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11. Условиями предоставления грантов являются: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целевое использование средств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обеспечение грантополучателем финансирования проекта, на реализацию которого предоставлен грант, за счет собственных средств в размере, установленном проектом грантополучателя и соответствующем пункту 8 Порядка;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4) принятие грантополучателем обязательства осуществлять деятельность, на которую предоставлен грант, на сельской территории или на территории сельской агломерации Новосибирской области, сохранить рабочие места и предоставлять в министерство отчетность, предусмотренную пунктом 20 Порядка, в течение не менее 5 лет с даты получения средств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5) принятие грантополучателем обязательств по достижению результатов предоставления гранта, предусмотренных пунктом 7 Порядка, значения которых устанавливаются в соглашении о предоставлении гранта, заключаемом между министерством и грантополучателем в соответствии с настоящим Порядком (далее – Соглашение);</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6) принятие грантополучателем обязательств по достижению плановых показателей деятельности, предусмотренных проектом грантополучателя;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7)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8) с 1 января 2025 года - документальное подтверждение наличия у грантополучателя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12. Гранты предоставляются министерством на основании протокола региональной конкурсной комиссии об итогах конкурсного отбора и Соглашения.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Соглашение заключаются в соответствии с типовой формой, утвержденной приказом Министерства финансов Российской Федерации от 30.11.2021 №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36" w:tooltip="https://login.consultant.ru/link/?req=doc&amp;base=LAW&amp;n=467420&amp;dst=100044" w:history="1">
        <w:r>
          <w:rPr>
            <w:rFonts w:ascii="Times New Roman" w:hAnsi="Times New Roman"/>
            <w:sz w:val="28"/>
            <w:szCs w:val="28"/>
          </w:rPr>
          <w:t>пунктом 10</w:t>
        </w:r>
      </w:hyperlink>
      <w:r>
        <w:rPr>
          <w:rFonts w:ascii="Times New Roman" w:hAnsi="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Проект Соглашения, сформированный министерством </w:t>
      </w:r>
      <w:r>
        <w:rPr>
          <w:rFonts w:ascii="Times New Roman" w:eastAsia="Calibri" w:hAnsi="Times New Roman"/>
          <w:sz w:val="28"/>
          <w:szCs w:val="28"/>
          <w:lang w:eastAsia="ru-RU"/>
        </w:rPr>
        <w:t>в государственной интегрированной информационной системе управления общественными финансами «Электронный бюджет» (далее – ГИИС «Электронный бюджет»)</w:t>
      </w:r>
      <w:r>
        <w:rPr>
          <w:rFonts w:ascii="Times New Roman" w:hAnsi="Times New Roman"/>
          <w:sz w:val="28"/>
          <w:szCs w:val="28"/>
        </w:rPr>
        <w:t>, в течение 10 рабочих дней со дня оформления протокола об итогах конкурсного отбора направляется на подписание грантополучателю.</w:t>
      </w:r>
    </w:p>
    <w:p w:rsidR="00964BC6" w:rsidRDefault="00CB34DE">
      <w:pPr>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Грантополучатель подписывает Соглашение в течение трех рабочих дней со дня его поступления в ГИИС «Электронный бюджет».</w:t>
      </w:r>
    </w:p>
    <w:p w:rsidR="00964BC6" w:rsidRDefault="00CB34DE">
      <w:pPr>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Министерство подписывает Соглашение в ГИИС «Электронный бюджет» в течение двух рабочих дней со дня подписания Соглашения грантополучателем.</w:t>
      </w:r>
    </w:p>
    <w:p w:rsidR="00964BC6" w:rsidRDefault="00CB34DE">
      <w:pPr>
        <w:spacing w:after="0" w:line="240" w:lineRule="auto"/>
        <w:ind w:firstLine="709"/>
        <w:jc w:val="both"/>
        <w:rPr>
          <w:rFonts w:ascii="Times New Roman" w:eastAsia="Calibri" w:hAnsi="Times New Roman"/>
          <w:sz w:val="28"/>
          <w:szCs w:val="28"/>
          <w:highlight w:val="white"/>
        </w:rPr>
      </w:pPr>
      <w:r>
        <w:rPr>
          <w:rFonts w:ascii="Times New Roman" w:eastAsia="Calibri" w:hAnsi="Times New Roman"/>
          <w:sz w:val="28"/>
          <w:szCs w:val="28"/>
          <w:highlight w:val="white"/>
          <w:lang w:eastAsia="ru-RU"/>
        </w:rPr>
        <w:t>В случае нарушения грантополучателем установленного настоящим пунктом срока подписания Соглашения грантополучатель считается уклонившимся от заключения Соглашения.</w:t>
      </w:r>
    </w:p>
    <w:p w:rsidR="00964BC6" w:rsidRDefault="00CB34DE">
      <w:pPr>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13. В Соглашение включаются: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согласие грантополучателя,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r:id="rId37" w:tooltip="https://login.consultant.ru/link/?req=doc&amp;base=LAW&amp;n=470713&amp;dst=3704" w:history="1">
        <w:r>
          <w:rPr>
            <w:rFonts w:ascii="Times New Roman" w:hAnsi="Times New Roman"/>
            <w:sz w:val="28"/>
            <w:szCs w:val="28"/>
          </w:rPr>
          <w:t>статьями 268.1</w:t>
        </w:r>
      </w:hyperlink>
      <w:r>
        <w:rPr>
          <w:rFonts w:ascii="Times New Roman" w:hAnsi="Times New Roman"/>
          <w:sz w:val="28"/>
          <w:szCs w:val="28"/>
        </w:rPr>
        <w:t xml:space="preserve"> и </w:t>
      </w:r>
      <w:hyperlink r:id="rId38" w:tooltip="https://login.consultant.ru/link/?req=doc&amp;base=LAW&amp;n=470713&amp;dst=3722" w:history="1">
        <w:r>
          <w:rPr>
            <w:rFonts w:ascii="Times New Roman" w:hAnsi="Times New Roman"/>
            <w:sz w:val="28"/>
            <w:szCs w:val="28"/>
          </w:rPr>
          <w:t>269.2</w:t>
        </w:r>
      </w:hyperlink>
      <w:r>
        <w:rPr>
          <w:rFonts w:ascii="Times New Roman" w:hAnsi="Times New Roman"/>
          <w:sz w:val="28"/>
          <w:szCs w:val="28"/>
        </w:rPr>
        <w:t xml:space="preserve"> Бюджетного кодекса Российской Федерации;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положения об обязательном включении в договоры (соглашения), заключенные грантополучателем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порядок и сроки возврата гранта в областной бюджет в случае нарушения условий предоставления гранта, выявленного</w:t>
      </w:r>
      <w:r>
        <w:rPr>
          <w:rFonts w:ascii="Times New Roman" w:eastAsia="Calibri" w:hAnsi="Times New Roman"/>
          <w:sz w:val="28"/>
          <w:szCs w:val="28"/>
          <w:lang w:eastAsia="zh-CN"/>
        </w:rPr>
        <w:t xml:space="preserve"> в том числе по фактам проверок, проведенных </w:t>
      </w:r>
      <w:r>
        <w:rPr>
          <w:rFonts w:ascii="Times New Roman" w:hAnsi="Times New Roman"/>
          <w:sz w:val="28"/>
          <w:szCs w:val="28"/>
        </w:rPr>
        <w:t xml:space="preserve">министерством и (или) уполномоченными органами государственного финансового контроля, </w:t>
      </w:r>
      <w:r>
        <w:rPr>
          <w:rFonts w:ascii="Times New Roman" w:eastAsia="Calibri" w:hAnsi="Times New Roman"/>
          <w:sz w:val="28"/>
          <w:szCs w:val="28"/>
          <w:lang w:eastAsia="zh-CN"/>
        </w:rPr>
        <w:t>а также в случае недостижения значений результатов предоставления субсидии</w:t>
      </w:r>
      <w:r>
        <w:rPr>
          <w:rFonts w:ascii="Times New Roman" w:hAnsi="Times New Roman"/>
          <w:sz w:val="28"/>
          <w:szCs w:val="28"/>
        </w:rPr>
        <w:t>;</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4) значения результатов предоставления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5) обязательства получателя средств: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а) об осуществлении деятельности на сельской территории или на территории сельской агломерации в течение не менее 5 лет с даты получения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б) о достижении плановых показателей деятельности, предусмотренных проектом грантополучателя;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в) о достижении значений результатов предоставления гранта, устанавливаемых министерством в Соглашении;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г) о представлении в министерство отчетов в соответствии с пунктом 20 настоящего Порядка и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соответствующий год;</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6)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7) об использовании гранта в срок не более 24 месяцев с даты его получения и положения о порядке и сроках возврата в областной бюджет средств гранта, не использованных в указанный срок;</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14.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лицевой счет, открытый территориальным органом Федерального казначейства в учреждении Центрального банка Российской Федерации получателю средств бюджета.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Перечисление гранта министерством осуществляется не позднее 10-го рабочего дня со дня открытия грантополучателю предусмотренного настоящим пунктом лицевого счета территориальным органом Федерального казначейства.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w:t>
      </w:r>
      <w:hyperlink r:id="rId39" w:tooltip="https://login.consultant.ru/link/?req=doc&amp;base=LAW&amp;n=470713&amp;dst=6772" w:history="1">
        <w:r>
          <w:rPr>
            <w:rFonts w:ascii="Times New Roman" w:hAnsi="Times New Roman"/>
            <w:sz w:val="28"/>
            <w:szCs w:val="28"/>
          </w:rPr>
          <w:t>статьей 242.25</w:t>
        </w:r>
      </w:hyperlink>
      <w:r>
        <w:rPr>
          <w:rFonts w:ascii="Times New Roman" w:hAnsi="Times New Roman"/>
          <w:sz w:val="28"/>
          <w:szCs w:val="28"/>
        </w:rPr>
        <w:t xml:space="preserve"> Бюджетного кодекса Российской Федерации средства гранта, предоставляемые в соответствии с настоящим Порядком, подлежат казначейскому сопровождению.</w:t>
      </w:r>
    </w:p>
    <w:p w:rsidR="00964BC6" w:rsidRDefault="00CB34DE">
      <w:pPr>
        <w:spacing w:after="0" w:line="240" w:lineRule="auto"/>
        <w:ind w:firstLine="540"/>
        <w:jc w:val="both"/>
        <w:rPr>
          <w:rFonts w:ascii="Times New Roman" w:hAnsi="Times New Roman"/>
          <w:sz w:val="28"/>
          <w:szCs w:val="28"/>
        </w:rPr>
      </w:pPr>
      <w:r>
        <w:rPr>
          <w:rFonts w:ascii="Times New Roman" w:hAnsi="Times New Roman"/>
          <w:sz w:val="28"/>
          <w:szCs w:val="28"/>
        </w:rPr>
        <w:t>15. В случае отказа грантополучателя от подписания Соглашения или нарушения срока его подписания, а также в случае не открытия грантополучателю лицевого счета территориальным органом Федерального казначейства в течение 30 дней с даты заключения Соглашения по причине отказа или уклонения грантополучателя от открытия лицевого счета министерство аннулирует решение о предоставлении гранта, о чем направляет письменное уведомление грантополучателю в течение пяти рабочих дней.</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В случае аннулирования министерством решения о предоставлении гранта, а также в случае расторжения Соглашения и возврата грантополучателем гранта до истечения календарного года, в котором грант был предоставлен, министерство направляет предложение о заключении Соглашения участнику конкурсного отбора, заявке которого, согласно протоколу об итогах конкурсного отбора получателей гранта, присвоен номер в рейтинге заявок, следующий за последним из победителей конкурсного отбора, с которым заключено Соглашение. В случае отказа данного участника конкурсного отбора от подписания Соглашения или нарушения срока его подписания предложение о заключении Соглашения направляется следующему участнику в рейтинге заявок.</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Минимальный балл участника конкурсного отбора в рейтинге заявок, дающий право на заключение Соглашения, устанавливается Положением о конкурсном отборе.</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16.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18.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40" w:tooltip="https://login.consultant.ru/link/?req=doc&amp;base=LAW&amp;n=426999&amp;dst=100008" w:history="1">
        <w:r>
          <w:rPr>
            <w:rFonts w:ascii="Times New Roman" w:eastAsia="Calibri" w:hAnsi="Times New Roman"/>
            <w:sz w:val="28"/>
            <w:szCs w:val="28"/>
            <w:lang w:eastAsia="ru-RU"/>
          </w:rPr>
          <w:t>пунктом 2</w:t>
        </w:r>
      </w:hyperlink>
      <w:r>
        <w:rPr>
          <w:rFonts w:ascii="Times New Roman" w:eastAsia="Calibri" w:hAnsi="Times New Roman"/>
          <w:sz w:val="28"/>
          <w:szCs w:val="28"/>
          <w:lang w:eastAsia="ru-RU"/>
        </w:rPr>
        <w:t xml:space="preserve"> Указа Президента Российской Федерации от 21.09.2022 №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1) 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2) обеспечение возврата средств гранта на развитие семейной фермы, гранта «Агропрогресс»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Указанные в </w:t>
      </w:r>
      <w:hyperlink w:anchor="Par33" w:tooltip="#Par33" w:history="1">
        <w:r>
          <w:rPr>
            <w:rFonts w:ascii="Times New Roman" w:eastAsia="Calibri" w:hAnsi="Times New Roman"/>
            <w:sz w:val="28"/>
            <w:szCs w:val="28"/>
            <w:lang w:eastAsia="ru-RU"/>
          </w:rPr>
          <w:t>абзацах втором</w:t>
        </w:r>
      </w:hyperlink>
      <w:r>
        <w:rPr>
          <w:rFonts w:ascii="Times New Roman" w:eastAsia="Calibri" w:hAnsi="Times New Roman"/>
          <w:sz w:val="28"/>
          <w:szCs w:val="28"/>
          <w:lang w:eastAsia="ru-RU"/>
        </w:rPr>
        <w:t xml:space="preserve"> и </w:t>
      </w:r>
      <w:hyperlink w:anchor="Par34" w:tooltip="#Par34" w:history="1">
        <w:r>
          <w:rPr>
            <w:rFonts w:ascii="Times New Roman" w:eastAsia="Calibri" w:hAnsi="Times New Roman"/>
            <w:sz w:val="28"/>
            <w:szCs w:val="28"/>
            <w:lang w:eastAsia="ru-RU"/>
          </w:rPr>
          <w:t>третьем</w:t>
        </w:r>
      </w:hyperlink>
      <w:r>
        <w:rPr>
          <w:rFonts w:ascii="Times New Roman" w:eastAsia="Calibri" w:hAnsi="Times New Roman"/>
          <w:sz w:val="28"/>
          <w:szCs w:val="28"/>
          <w:lang w:eastAsia="ru-RU"/>
        </w:rP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19. Действие </w:t>
      </w:r>
      <w:hyperlink r:id="rId41" w:tooltip="https://login.consultant.ru/link/?req=doc&amp;base=RLAW049&amp;n=171672&amp;dst=177139" w:history="1">
        <w:r>
          <w:rPr>
            <w:rFonts w:ascii="Times New Roman" w:eastAsia="Calibri" w:hAnsi="Times New Roman"/>
            <w:sz w:val="28"/>
            <w:szCs w:val="28"/>
            <w:lang w:eastAsia="ru-RU"/>
          </w:rPr>
          <w:t>пунктов 17</w:t>
        </w:r>
      </w:hyperlink>
      <w:r>
        <w:rPr>
          <w:rFonts w:ascii="Times New Roman" w:eastAsia="Calibri" w:hAnsi="Times New Roman"/>
          <w:sz w:val="28"/>
          <w:szCs w:val="28"/>
          <w:lang w:eastAsia="ru-RU"/>
        </w:rPr>
        <w:t xml:space="preserve"> и </w:t>
      </w:r>
      <w:hyperlink r:id="rId42" w:tooltip="https://login.consultant.ru/link/?req=doc&amp;base=RLAW049&amp;n=171672&amp;dst=177143" w:history="1">
        <w:r>
          <w:rPr>
            <w:rFonts w:ascii="Times New Roman" w:eastAsia="Calibri" w:hAnsi="Times New Roman"/>
            <w:sz w:val="28"/>
            <w:szCs w:val="28"/>
            <w:lang w:eastAsia="ru-RU"/>
          </w:rPr>
          <w:t>18</w:t>
        </w:r>
      </w:hyperlink>
      <w:r>
        <w:rPr>
          <w:rFonts w:ascii="Times New Roman" w:eastAsia="Calibri" w:hAnsi="Times New Roman"/>
          <w:sz w:val="28"/>
          <w:szCs w:val="28"/>
          <w:lang w:eastAsia="ru-RU"/>
        </w:rPr>
        <w:t xml:space="preserve"> настоящего Порядка распространяется на лиц, получивших средства гранта на поддержку начинающего фермера в соответствии с государственной </w:t>
      </w:r>
      <w:hyperlink r:id="rId43" w:tooltip="https://login.consultant.ru/link/?req=doc&amp;base=RLAW049&amp;n=171672&amp;dst=100047" w:history="1">
        <w:r>
          <w:rPr>
            <w:rFonts w:ascii="Times New Roman" w:eastAsia="Calibri" w:hAnsi="Times New Roman"/>
            <w:sz w:val="28"/>
            <w:szCs w:val="28"/>
            <w:lang w:eastAsia="ru-RU"/>
          </w:rPr>
          <w:t>программой</w:t>
        </w:r>
      </w:hyperlink>
      <w:r>
        <w:rPr>
          <w:rFonts w:ascii="Times New Roman" w:eastAsia="Calibri" w:hAnsi="Times New Roman"/>
          <w:sz w:val="28"/>
          <w:szCs w:val="28"/>
          <w:lang w:eastAsia="ru-RU"/>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 37-п, в 2019 - 2020 годах.</w:t>
      </w:r>
    </w:p>
    <w:p w:rsidR="00964BC6" w:rsidRDefault="00964BC6">
      <w:pPr>
        <w:spacing w:before="280" w:after="0" w:line="240" w:lineRule="auto"/>
        <w:ind w:firstLine="709"/>
        <w:contextualSpacing/>
        <w:jc w:val="both"/>
        <w:rPr>
          <w:rFonts w:ascii="Times New Roman" w:eastAsia="Calibri" w:hAnsi="Times New Roman"/>
          <w:sz w:val="28"/>
          <w:szCs w:val="28"/>
          <w:lang w:eastAsia="ru-RU"/>
        </w:rPr>
      </w:pPr>
    </w:p>
    <w:p w:rsidR="00964BC6" w:rsidRDefault="00CB34DE">
      <w:pPr>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III. Требования к отчетности</w:t>
      </w:r>
    </w:p>
    <w:p w:rsidR="00964BC6" w:rsidRDefault="00964BC6">
      <w:pPr>
        <w:widowControl w:val="0"/>
        <w:spacing w:after="0" w:line="240" w:lineRule="auto"/>
        <w:jc w:val="center"/>
        <w:outlineLvl w:val="0"/>
        <w:rPr>
          <w:rFonts w:ascii="Times New Roman" w:hAnsi="Times New Roman"/>
          <w:b/>
          <w:bCs/>
          <w:sz w:val="28"/>
          <w:szCs w:val="28"/>
        </w:rPr>
      </w:pP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20. Грантополучатель представляет в министерство:</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 </w:t>
      </w:r>
      <w:r w:rsidR="007E23B4">
        <w:rPr>
          <w:rFonts w:ascii="Times New Roman" w:hAnsi="Times New Roman"/>
          <w:sz w:val="28"/>
          <w:szCs w:val="28"/>
        </w:rPr>
        <w:t>ежеквартально</w:t>
      </w:r>
      <w:r w:rsidR="00F268AF">
        <w:rPr>
          <w:rFonts w:ascii="Times New Roman" w:hAnsi="Times New Roman"/>
          <w:sz w:val="28"/>
          <w:szCs w:val="28"/>
        </w:rPr>
        <w:t xml:space="preserve"> -</w:t>
      </w:r>
      <w:r w:rsidR="007E23B4">
        <w:rPr>
          <w:rFonts w:ascii="Times New Roman" w:hAnsi="Times New Roman"/>
          <w:sz w:val="28"/>
          <w:szCs w:val="28"/>
        </w:rPr>
        <w:t xml:space="preserve"> </w:t>
      </w:r>
      <w:r>
        <w:rPr>
          <w:rFonts w:ascii="Times New Roman" w:hAnsi="Times New Roman"/>
          <w:sz w:val="28"/>
          <w:szCs w:val="28"/>
        </w:rPr>
        <w:t xml:space="preserve">отчет о достижении результатов предоставления гранта, указанных в </w:t>
      </w:r>
      <w:hyperlink r:id="rId44" w:tooltip="https://login.consultant.ru/link/?req=doc&amp;base=RLAW049&amp;n=171672&amp;dst=140802" w:history="1">
        <w:r>
          <w:rPr>
            <w:rFonts w:ascii="Times New Roman" w:hAnsi="Times New Roman"/>
            <w:sz w:val="28"/>
            <w:szCs w:val="28"/>
          </w:rPr>
          <w:t>пункте 7</w:t>
        </w:r>
      </w:hyperlink>
      <w:r>
        <w:rPr>
          <w:rFonts w:ascii="Times New Roman" w:hAnsi="Times New Roman"/>
          <w:sz w:val="28"/>
          <w:szCs w:val="28"/>
        </w:rPr>
        <w:t xml:space="preserve"> настоящего Порядка,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w:t>
      </w:r>
      <w:r w:rsidR="007E23B4">
        <w:rPr>
          <w:rFonts w:ascii="Times New Roman" w:hAnsi="Times New Roman"/>
          <w:sz w:val="28"/>
          <w:szCs w:val="28"/>
        </w:rPr>
        <w:t xml:space="preserve">ежеквартально </w:t>
      </w:r>
      <w:r w:rsidR="00F268AF">
        <w:rPr>
          <w:rFonts w:ascii="Times New Roman" w:hAnsi="Times New Roman"/>
          <w:sz w:val="28"/>
          <w:szCs w:val="28"/>
        </w:rPr>
        <w:t xml:space="preserve">- </w:t>
      </w:r>
      <w:r>
        <w:rPr>
          <w:rFonts w:ascii="Times New Roman" w:hAnsi="Times New Roman"/>
          <w:sz w:val="28"/>
          <w:szCs w:val="28"/>
        </w:rP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отчет о показателях деятельности получателя гранта в сроки и по форме, определенные Соглашением.</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Министерство осуществляет проверку отчетов в течение 60 рабочих дней со дня их поступления, по результатам которой:</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 принимает отчет;</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 возвращает отчет грантополучателю на доработку при наличии замечаний. Грантополучатель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964BC6" w:rsidRDefault="00964BC6">
      <w:pPr>
        <w:widowControl w:val="0"/>
        <w:spacing w:after="0" w:line="240" w:lineRule="auto"/>
        <w:jc w:val="center"/>
        <w:outlineLvl w:val="0"/>
        <w:rPr>
          <w:rFonts w:ascii="Times New Roman" w:hAnsi="Times New Roman"/>
          <w:b/>
          <w:bCs/>
          <w:sz w:val="28"/>
          <w:szCs w:val="28"/>
        </w:rPr>
      </w:pPr>
    </w:p>
    <w:p w:rsidR="00964BC6" w:rsidRDefault="00CB34DE">
      <w:pPr>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IV. Порядок внесения изменений в проект грантополучателя</w:t>
      </w:r>
    </w:p>
    <w:p w:rsidR="00964BC6" w:rsidRDefault="00964BC6">
      <w:pPr>
        <w:spacing w:after="0" w:line="240" w:lineRule="auto"/>
        <w:ind w:firstLine="709"/>
        <w:jc w:val="both"/>
        <w:rPr>
          <w:rFonts w:ascii="Times New Roman" w:hAnsi="Times New Roman"/>
          <w:sz w:val="28"/>
          <w:szCs w:val="28"/>
        </w:rPr>
      </w:pP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21. Изменение плана расходов в пределах предоставленного гранта подлежит предварительному согласованию с региональной конкурсной комиссией.</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Изменение плана расходов не должно менять отраслевое направление деятельности грантополучателя, на развитие которого предоставлен грант, а также изменять сроки реализации бизнес-плана и снижать значения результатов предоставления гранта, предусмотренных бизнес-планом.</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Для согласования изменения плана расходов в пределах предоставленного гранта грантополучатель представляет в министерство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Министерство в течение 30 календарных дней со дня поступления заявления об изменении плана расходов в пределах предоставленного гранта организует проведение заседания региональной конкурсной комиссии, на котором принимается решение о согласовании или об отказе в согласовании изменения плана расходов. Решение региональной конкурсной комиссии оформляется протоколом.</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несоответствие изменений плана расходов направлениям расходования гранта, установленным </w:t>
      </w:r>
      <w:hyperlink r:id="rId45" w:tooltip="https://login.consultant.ru/link/?req=doc&amp;base=RLAW049&amp;n=171672&amp;dst=125076" w:history="1">
        <w:r>
          <w:rPr>
            <w:rFonts w:ascii="Times New Roman" w:hAnsi="Times New Roman"/>
            <w:sz w:val="28"/>
            <w:szCs w:val="28"/>
          </w:rPr>
          <w:t xml:space="preserve">пунктом </w:t>
        </w:r>
      </w:hyperlink>
      <w:r>
        <w:rPr>
          <w:rFonts w:ascii="Times New Roman" w:hAnsi="Times New Roman"/>
          <w:sz w:val="28"/>
          <w:szCs w:val="28"/>
        </w:rPr>
        <w:t>6 настоящего Порядка;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поступление заявки об изменении плана расходов после окончания срока использования гранта, определяемого в соответствии с </w:t>
      </w:r>
      <w:hyperlink r:id="rId46" w:tooltip="https://login.consultant.ru/link/?req=doc&amp;base=RLAW049&amp;n=171672&amp;dst=125146" w:history="1">
        <w:r>
          <w:rPr>
            <w:rFonts w:ascii="Times New Roman" w:hAnsi="Times New Roman"/>
            <w:sz w:val="28"/>
            <w:szCs w:val="28"/>
          </w:rPr>
          <w:t>пунктом 9</w:t>
        </w:r>
      </w:hyperlink>
      <w:r>
        <w:rPr>
          <w:rFonts w:ascii="Times New Roman" w:hAnsi="Times New Roman"/>
          <w:sz w:val="28"/>
          <w:szCs w:val="28"/>
        </w:rPr>
        <w:t xml:space="preserve"> Порядка;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снижение значений результатов предоставления гранта, установленных Соглашением, и (или) увеличение сроков реализации бизнес-плана;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5) установление факта, что расходование гранта по плану расходов получателем гранта уже осуществлено.</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грантополучателю письменное уведомление.</w:t>
      </w:r>
    </w:p>
    <w:p w:rsidR="00964BC6" w:rsidRDefault="00964BC6">
      <w:pPr>
        <w:spacing w:after="0" w:line="240" w:lineRule="auto"/>
        <w:ind w:firstLine="709"/>
        <w:jc w:val="both"/>
        <w:rPr>
          <w:rFonts w:ascii="Times New Roman" w:hAnsi="Times New Roman"/>
          <w:sz w:val="28"/>
          <w:szCs w:val="28"/>
        </w:rPr>
      </w:pPr>
    </w:p>
    <w:p w:rsidR="00964BC6" w:rsidRDefault="00CB34DE">
      <w:pPr>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V. Контроль (мониторинг) за соблюдением условий и порядка предоставления субсидий и ответственность за их нарушение</w:t>
      </w:r>
    </w:p>
    <w:p w:rsidR="00964BC6" w:rsidRDefault="00964BC6">
      <w:pPr>
        <w:widowControl w:val="0"/>
        <w:spacing w:after="0" w:line="240" w:lineRule="auto"/>
        <w:jc w:val="center"/>
        <w:outlineLvl w:val="0"/>
        <w:rPr>
          <w:rFonts w:ascii="Times New Roman" w:hAnsi="Times New Roman"/>
          <w:b/>
          <w:bCs/>
          <w:sz w:val="28"/>
          <w:szCs w:val="28"/>
        </w:rPr>
      </w:pP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22. Министерство осуществляет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47" w:tooltip="https://login.consultant.ru/link/?req=doc&amp;base=LAW&amp;n=470713&amp;dst=3704" w:history="1">
        <w:r>
          <w:rPr>
            <w:rFonts w:ascii="Times New Roman" w:hAnsi="Times New Roman"/>
            <w:sz w:val="28"/>
            <w:szCs w:val="28"/>
          </w:rPr>
          <w:t>статьями 268.1</w:t>
        </w:r>
      </w:hyperlink>
      <w:r>
        <w:rPr>
          <w:rFonts w:ascii="Times New Roman" w:hAnsi="Times New Roman"/>
          <w:sz w:val="28"/>
          <w:szCs w:val="28"/>
        </w:rPr>
        <w:t xml:space="preserve"> и </w:t>
      </w:r>
      <w:hyperlink r:id="rId48" w:tooltip="https://login.consultant.ru/link/?req=doc&amp;base=LAW&amp;n=470713&amp;dst=3722" w:history="1">
        <w:r>
          <w:rPr>
            <w:rFonts w:ascii="Times New Roman" w:hAnsi="Times New Roman"/>
            <w:sz w:val="28"/>
            <w:szCs w:val="28"/>
          </w:rPr>
          <w:t>269.2</w:t>
        </w:r>
      </w:hyperlink>
      <w:r>
        <w:rPr>
          <w:rFonts w:ascii="Times New Roman" w:hAnsi="Times New Roman"/>
          <w:sz w:val="28"/>
          <w:szCs w:val="28"/>
        </w:rPr>
        <w:t xml:space="preserve"> Бюджетного кодекса Российской Федерации.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Грантополучатель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23. За нарушение условий предоставления гранта к грантополучателю применяются следующие меры ответственности: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1) в случае несоблюдения грантополучателем условий предоставления гранта, выявленного по фактам проверок, проведенных министерством и (или) органами государственного финансового контроля, грантополучатель возвращает денежные средства, полученные в счет гранта, в полном объеме в областной бюджет Новосибирской области;</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в случае неиспользования гранта в сроки, установленные </w:t>
      </w:r>
      <w:hyperlink r:id="rId49" w:tooltip="https://login.consultant.ru/link/?req=doc&amp;base=RLAW049&amp;n=171672&amp;dst=125146" w:history="1">
        <w:r>
          <w:rPr>
            <w:rFonts w:ascii="Times New Roman" w:hAnsi="Times New Roman"/>
            <w:sz w:val="28"/>
            <w:szCs w:val="28"/>
          </w:rPr>
          <w:t>пунктом 9</w:t>
        </w:r>
      </w:hyperlink>
      <w:r>
        <w:rPr>
          <w:rFonts w:ascii="Times New Roman" w:hAnsi="Times New Roman"/>
          <w:sz w:val="28"/>
          <w:szCs w:val="28"/>
        </w:rPr>
        <w:t xml:space="preserve"> настоящего Порядка, грантополучатель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964BC6" w:rsidRDefault="00CB34DE">
      <w:pPr>
        <w:spacing w:after="0" w:line="240" w:lineRule="auto"/>
        <w:ind w:firstLine="709"/>
        <w:jc w:val="both"/>
        <w:rPr>
          <w:rFonts w:ascii="Times New Roman" w:hAnsi="Times New Roman"/>
          <w:sz w:val="28"/>
          <w:szCs w:val="28"/>
        </w:rPr>
      </w:pPr>
      <w:r>
        <w:rPr>
          <w:rFonts w:ascii="Times New Roman" w:hAnsi="Times New Roman"/>
          <w:sz w:val="28"/>
          <w:szCs w:val="28"/>
        </w:rPr>
        <w:t>3) в случае не достижения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964BC6" w:rsidRDefault="00223685">
      <w:pPr>
        <w:spacing w:after="0" w:line="240" w:lineRule="auto"/>
        <w:jc w:val="center"/>
        <w:rPr>
          <w:rFonts w:ascii="Times New Roman" w:eastAsia="Calibri" w:hAnsi="Times New Roman"/>
          <w:sz w:val="28"/>
          <w:szCs w:val="28"/>
          <w:lang w:eastAsia="ru-RU"/>
        </w:rPr>
      </w:pPr>
      <w:r>
        <w:rPr>
          <w:rFonts w:ascii="Times New Roman" w:eastAsia="Calibri" w:hAnsi="Times New Roman"/>
          <w:noProof/>
          <w:position w:val="-29"/>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05pt;height:43.45pt;visibility:visible;mso-wrap-style:square">
            <v:imagedata r:id="rId50" o:title=""/>
          </v:shape>
        </w:pict>
      </w:r>
    </w:p>
    <w:p w:rsidR="00964BC6" w:rsidRDefault="00CB34DE">
      <w:pPr>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где:</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V</w:t>
      </w:r>
      <w:r>
        <w:rPr>
          <w:rFonts w:ascii="Times New Roman" w:eastAsia="Calibri" w:hAnsi="Times New Roman"/>
          <w:sz w:val="28"/>
          <w:szCs w:val="28"/>
          <w:vertAlign w:val="subscript"/>
          <w:lang w:eastAsia="ru-RU"/>
        </w:rPr>
        <w:t>возврата</w:t>
      </w:r>
      <w:r>
        <w:rPr>
          <w:rFonts w:ascii="Times New Roman" w:eastAsia="Calibri" w:hAnsi="Times New Roman"/>
          <w:sz w:val="28"/>
          <w:szCs w:val="28"/>
          <w:lang w:eastAsia="ru-RU"/>
        </w:rPr>
        <w:t xml:space="preserve"> - сумма гранта, подлежащая возврату;</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V</w:t>
      </w:r>
      <w:r>
        <w:rPr>
          <w:rFonts w:ascii="Times New Roman" w:eastAsia="Calibri" w:hAnsi="Times New Roman"/>
          <w:sz w:val="28"/>
          <w:szCs w:val="28"/>
          <w:vertAlign w:val="subscript"/>
          <w:lang w:eastAsia="ru-RU"/>
        </w:rPr>
        <w:t>грант</w:t>
      </w:r>
      <w:r>
        <w:rPr>
          <w:rFonts w:ascii="Times New Roman" w:eastAsia="Calibri" w:hAnsi="Times New Roman"/>
          <w:sz w:val="28"/>
          <w:szCs w:val="28"/>
          <w:lang w:eastAsia="ru-RU"/>
        </w:rPr>
        <w:t xml:space="preserve"> - размер гранта, предоставленного грантополучателю;</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M - количество показателей, по которым не достигнуты значения результатов предоставления гранта;</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N - общее количество результатов предоставления гранта;</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D</w:t>
      </w:r>
      <w:r>
        <w:rPr>
          <w:rFonts w:ascii="Times New Roman" w:eastAsia="Calibri" w:hAnsi="Times New Roman"/>
          <w:sz w:val="28"/>
          <w:szCs w:val="28"/>
          <w:vertAlign w:val="subscript"/>
          <w:lang w:eastAsia="ru-RU"/>
        </w:rPr>
        <w:t>i</w:t>
      </w:r>
      <w:r>
        <w:rPr>
          <w:rFonts w:ascii="Times New Roman" w:eastAsia="Calibri" w:hAnsi="Times New Roman"/>
          <w:sz w:val="28"/>
          <w:szCs w:val="28"/>
          <w:lang w:eastAsia="ru-RU"/>
        </w:rPr>
        <w:t xml:space="preserve"> - индекс, отражающий уровень недостижения i-го результата использования субсидии, который рассчитывается по формуле:</w:t>
      </w:r>
    </w:p>
    <w:p w:rsidR="00964BC6" w:rsidRDefault="00CB34DE">
      <w:pPr>
        <w:spacing w:after="0" w:line="240" w:lineRule="auto"/>
        <w:ind w:firstLine="709"/>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D</w:t>
      </w:r>
      <w:r>
        <w:rPr>
          <w:rFonts w:ascii="Times New Roman" w:eastAsia="Calibri" w:hAnsi="Times New Roman"/>
          <w:sz w:val="28"/>
          <w:szCs w:val="28"/>
          <w:vertAlign w:val="subscript"/>
          <w:lang w:eastAsia="ru-RU"/>
        </w:rPr>
        <w:t>i</w:t>
      </w:r>
      <w:r>
        <w:rPr>
          <w:rFonts w:ascii="Times New Roman" w:eastAsia="Calibri" w:hAnsi="Times New Roman"/>
          <w:sz w:val="28"/>
          <w:szCs w:val="28"/>
          <w:lang w:eastAsia="ru-RU"/>
        </w:rPr>
        <w:t xml:space="preserve"> = 1 - T</w:t>
      </w:r>
      <w:r>
        <w:rPr>
          <w:rFonts w:ascii="Times New Roman" w:eastAsia="Calibri" w:hAnsi="Times New Roman"/>
          <w:sz w:val="28"/>
          <w:szCs w:val="28"/>
          <w:vertAlign w:val="subscript"/>
          <w:lang w:eastAsia="ru-RU"/>
        </w:rPr>
        <w:t>i</w:t>
      </w:r>
      <w:r>
        <w:rPr>
          <w:rFonts w:ascii="Times New Roman" w:eastAsia="Calibri" w:hAnsi="Times New Roman"/>
          <w:sz w:val="28"/>
          <w:szCs w:val="28"/>
          <w:lang w:eastAsia="ru-RU"/>
        </w:rPr>
        <w:t xml:space="preserve"> / S</w:t>
      </w:r>
      <w:r>
        <w:rPr>
          <w:rFonts w:ascii="Times New Roman" w:eastAsia="Calibri" w:hAnsi="Times New Roman"/>
          <w:sz w:val="28"/>
          <w:szCs w:val="28"/>
          <w:vertAlign w:val="subscript"/>
          <w:lang w:eastAsia="ru-RU"/>
        </w:rPr>
        <w:t>i</w:t>
      </w:r>
      <w:r>
        <w:rPr>
          <w:rFonts w:ascii="Times New Roman" w:eastAsia="Calibri" w:hAnsi="Times New Roman"/>
          <w:sz w:val="28"/>
          <w:szCs w:val="28"/>
          <w:lang w:eastAsia="ru-RU"/>
        </w:rPr>
        <w:t>,</w:t>
      </w:r>
    </w:p>
    <w:p w:rsidR="00964BC6" w:rsidRDefault="00CB34DE">
      <w:pPr>
        <w:spacing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где:</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T</w:t>
      </w:r>
      <w:r>
        <w:rPr>
          <w:rFonts w:ascii="Times New Roman" w:eastAsia="Calibri" w:hAnsi="Times New Roman"/>
          <w:sz w:val="28"/>
          <w:szCs w:val="28"/>
          <w:vertAlign w:val="subscript"/>
          <w:lang w:eastAsia="ru-RU"/>
        </w:rPr>
        <w:t>i</w:t>
      </w:r>
      <w:r>
        <w:rPr>
          <w:rFonts w:ascii="Times New Roman" w:eastAsia="Calibri" w:hAnsi="Times New Roman"/>
          <w:sz w:val="28"/>
          <w:szCs w:val="28"/>
          <w:lang w:eastAsia="ru-RU"/>
        </w:rPr>
        <w:t xml:space="preserve"> - фактически достигнутое значение i-го результата предоставления гранта на отчетную дату;</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S</w:t>
      </w:r>
      <w:r>
        <w:rPr>
          <w:rFonts w:ascii="Times New Roman" w:eastAsia="Calibri" w:hAnsi="Times New Roman"/>
          <w:sz w:val="28"/>
          <w:szCs w:val="28"/>
          <w:vertAlign w:val="subscript"/>
          <w:lang w:eastAsia="ru-RU"/>
        </w:rPr>
        <w:t>i</w:t>
      </w:r>
      <w:r>
        <w:rPr>
          <w:rFonts w:ascii="Times New Roman" w:eastAsia="Calibri" w:hAnsi="Times New Roman"/>
          <w:sz w:val="28"/>
          <w:szCs w:val="28"/>
          <w:lang w:eastAsia="ru-RU"/>
        </w:rPr>
        <w:t xml:space="preserve"> - плановое значение i-го результата предоставления гранта, установленное Соглашением на текущий год.</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Ответственность за недостижение значений результатов предоставления гранта, не применяется в случаях, когда значения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Министерство в течение 10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Грантополучатель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964BC6" w:rsidRDefault="00CB34DE">
      <w:pPr>
        <w:spacing w:before="280" w:after="0" w:line="240" w:lineRule="auto"/>
        <w:ind w:firstLine="709"/>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24.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утвержденном </w:t>
      </w:r>
      <w:r>
        <w:rPr>
          <w:rFonts w:ascii="Times New Roman" w:hAnsi="Times New Roman"/>
          <w:sz w:val="28"/>
          <w:szCs w:val="28"/>
          <w:lang w:eastAsia="ru-RU"/>
        </w:rPr>
        <w:t>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Pr>
          <w:rFonts w:ascii="Times New Roman" w:eastAsia="Calibri" w:hAnsi="Times New Roman"/>
          <w:sz w:val="28"/>
          <w:szCs w:val="28"/>
          <w:lang w:eastAsia="ru-RU"/>
        </w:rPr>
        <w:t>.</w:t>
      </w:r>
    </w:p>
    <w:p w:rsidR="00964BC6" w:rsidRDefault="00964BC6">
      <w:pPr>
        <w:spacing w:after="0" w:line="240" w:lineRule="auto"/>
        <w:ind w:firstLine="709"/>
        <w:jc w:val="both"/>
        <w:rPr>
          <w:rFonts w:ascii="Times New Roman" w:hAnsi="Times New Roman"/>
          <w:sz w:val="28"/>
          <w:szCs w:val="28"/>
        </w:rPr>
      </w:pPr>
    </w:p>
    <w:p w:rsidR="00964BC6" w:rsidRDefault="00964BC6">
      <w:pPr>
        <w:spacing w:after="0" w:line="240" w:lineRule="auto"/>
        <w:ind w:firstLine="709"/>
        <w:jc w:val="both"/>
        <w:rPr>
          <w:rFonts w:ascii="Times New Roman" w:hAnsi="Times New Roman"/>
          <w:sz w:val="28"/>
          <w:szCs w:val="28"/>
        </w:rPr>
      </w:pPr>
    </w:p>
    <w:p w:rsidR="00964BC6" w:rsidRDefault="00CB34DE">
      <w:pPr>
        <w:spacing w:after="0" w:line="240" w:lineRule="auto"/>
        <w:jc w:val="center"/>
        <w:rPr>
          <w:rFonts w:ascii="Times New Roman" w:hAnsi="Times New Roman"/>
          <w:sz w:val="28"/>
          <w:szCs w:val="28"/>
        </w:rPr>
      </w:pPr>
      <w:r>
        <w:rPr>
          <w:rFonts w:ascii="Times New Roman" w:hAnsi="Times New Roman"/>
          <w:sz w:val="28"/>
          <w:szCs w:val="28"/>
        </w:rPr>
        <w:t>_________».</w:t>
      </w:r>
    </w:p>
    <w:sectPr w:rsidR="00964BC6">
      <w:headerReference w:type="default" r:id="rId5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49" w:rsidRDefault="00287949">
      <w:pPr>
        <w:spacing w:after="0" w:line="240" w:lineRule="auto"/>
      </w:pPr>
      <w:r>
        <w:separator/>
      </w:r>
    </w:p>
  </w:endnote>
  <w:endnote w:type="continuationSeparator" w:id="0">
    <w:p w:rsidR="00287949" w:rsidRDefault="0028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49" w:rsidRDefault="00287949">
      <w:pPr>
        <w:spacing w:after="0" w:line="240" w:lineRule="auto"/>
      </w:pPr>
      <w:r>
        <w:separator/>
      </w:r>
    </w:p>
  </w:footnote>
  <w:footnote w:type="continuationSeparator" w:id="0">
    <w:p w:rsidR="00287949" w:rsidRDefault="0028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C6" w:rsidRDefault="00CB34DE">
    <w:pPr>
      <w:pStyle w:val="aa"/>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223685">
      <w:rPr>
        <w:rFonts w:ascii="Times New Roman" w:hAnsi="Times New Roman"/>
        <w:noProof/>
        <w:sz w:val="20"/>
        <w:szCs w:val="20"/>
      </w:rPr>
      <w:t>6</w:t>
    </w:r>
    <w:r>
      <w:rPr>
        <w:rFonts w:ascii="Times New Roman" w:hAnsi="Times New Roman"/>
        <w:sz w:val="20"/>
        <w:szCs w:val="20"/>
      </w:rPr>
      <w:fldChar w:fldCharType="end"/>
    </w:r>
  </w:p>
  <w:p w:rsidR="00964BC6" w:rsidRDefault="00964B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E6472"/>
    <w:multiLevelType w:val="hybridMultilevel"/>
    <w:tmpl w:val="507CF5BA"/>
    <w:lvl w:ilvl="0" w:tplc="933E159E">
      <w:start w:val="1"/>
      <w:numFmt w:val="decimal"/>
      <w:lvlText w:val="%1."/>
      <w:lvlJc w:val="left"/>
      <w:pPr>
        <w:ind w:left="720" w:hanging="360"/>
      </w:pPr>
      <w:rPr>
        <w:rFonts w:cs="Times New Roman"/>
      </w:rPr>
    </w:lvl>
    <w:lvl w:ilvl="1" w:tplc="9E0E1D06">
      <w:start w:val="1"/>
      <w:numFmt w:val="lowerLetter"/>
      <w:lvlText w:val="%2."/>
      <w:lvlJc w:val="left"/>
      <w:pPr>
        <w:ind w:left="1440" w:hanging="360"/>
      </w:pPr>
      <w:rPr>
        <w:rFonts w:cs="Times New Roman"/>
      </w:rPr>
    </w:lvl>
    <w:lvl w:ilvl="2" w:tplc="C5980F5E">
      <w:start w:val="1"/>
      <w:numFmt w:val="lowerRoman"/>
      <w:lvlText w:val="%3."/>
      <w:lvlJc w:val="right"/>
      <w:pPr>
        <w:ind w:left="2160" w:hanging="180"/>
      </w:pPr>
      <w:rPr>
        <w:rFonts w:cs="Times New Roman"/>
      </w:rPr>
    </w:lvl>
    <w:lvl w:ilvl="3" w:tplc="EEACD6BA">
      <w:start w:val="1"/>
      <w:numFmt w:val="decimal"/>
      <w:lvlText w:val="%4."/>
      <w:lvlJc w:val="left"/>
      <w:pPr>
        <w:ind w:left="2880" w:hanging="360"/>
      </w:pPr>
      <w:rPr>
        <w:rFonts w:cs="Times New Roman"/>
      </w:rPr>
    </w:lvl>
    <w:lvl w:ilvl="4" w:tplc="1C0EAF1C">
      <w:start w:val="1"/>
      <w:numFmt w:val="lowerLetter"/>
      <w:lvlText w:val="%5."/>
      <w:lvlJc w:val="left"/>
      <w:pPr>
        <w:ind w:left="3600" w:hanging="360"/>
      </w:pPr>
      <w:rPr>
        <w:rFonts w:cs="Times New Roman"/>
      </w:rPr>
    </w:lvl>
    <w:lvl w:ilvl="5" w:tplc="4F8AF74E">
      <w:start w:val="1"/>
      <w:numFmt w:val="lowerRoman"/>
      <w:lvlText w:val="%6."/>
      <w:lvlJc w:val="right"/>
      <w:pPr>
        <w:ind w:left="4320" w:hanging="180"/>
      </w:pPr>
      <w:rPr>
        <w:rFonts w:cs="Times New Roman"/>
      </w:rPr>
    </w:lvl>
    <w:lvl w:ilvl="6" w:tplc="ED78C484">
      <w:start w:val="1"/>
      <w:numFmt w:val="decimal"/>
      <w:lvlText w:val="%7."/>
      <w:lvlJc w:val="left"/>
      <w:pPr>
        <w:ind w:left="5040" w:hanging="360"/>
      </w:pPr>
      <w:rPr>
        <w:rFonts w:cs="Times New Roman"/>
      </w:rPr>
    </w:lvl>
    <w:lvl w:ilvl="7" w:tplc="9A7615D6">
      <w:start w:val="1"/>
      <w:numFmt w:val="lowerLetter"/>
      <w:lvlText w:val="%8."/>
      <w:lvlJc w:val="left"/>
      <w:pPr>
        <w:ind w:left="5760" w:hanging="360"/>
      </w:pPr>
      <w:rPr>
        <w:rFonts w:cs="Times New Roman"/>
      </w:rPr>
    </w:lvl>
    <w:lvl w:ilvl="8" w:tplc="0EFC4CAC">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BC6"/>
    <w:rsid w:val="00185EAF"/>
    <w:rsid w:val="0020174A"/>
    <w:rsid w:val="00223685"/>
    <w:rsid w:val="00266B8E"/>
    <w:rsid w:val="00287949"/>
    <w:rsid w:val="002B07D0"/>
    <w:rsid w:val="00421D03"/>
    <w:rsid w:val="004369DE"/>
    <w:rsid w:val="006A32F2"/>
    <w:rsid w:val="007E23B4"/>
    <w:rsid w:val="00964BC6"/>
    <w:rsid w:val="00A203E8"/>
    <w:rsid w:val="00A20F13"/>
    <w:rsid w:val="00B961F6"/>
    <w:rsid w:val="00BC4983"/>
    <w:rsid w:val="00CB34DE"/>
    <w:rsid w:val="00F2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BAEEAF"/>
  <w15:docId w15:val="{04A8441B-F83D-47F3-94EE-A6DFB561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rPr>
      <w:lang w:eastAsia="zh-CN"/>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spacing w:after="0" w:line="240" w:lineRule="auto"/>
    </w:pPr>
  </w:style>
  <w:style w:type="character" w:customStyle="1" w:styleId="HeaderChar">
    <w:name w:val="Header Char"/>
    <w:uiPriority w:val="99"/>
  </w:style>
  <w:style w:type="paragraph" w:styleId="ac">
    <w:name w:val="footer"/>
    <w:basedOn w:val="a"/>
    <w:link w:val="ad"/>
    <w:pPr>
      <w:tabs>
        <w:tab w:val="center" w:pos="4677"/>
        <w:tab w:val="right" w:pos="9355"/>
      </w:tabs>
      <w:spacing w:after="0" w:line="240" w:lineRule="auto"/>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
    <w:name w:val="Table Grid"/>
    <w:basedOn w:val="a1"/>
    <w:uiPriority w:val="59"/>
    <w:rPr>
      <w:rFonts w:ascii="Times New Roman" w:eastAsia="Times New Roman" w:hAnsi="Times New Roman"/>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unhideWhenUsed/>
    <w:rPr>
      <w:color w:val="0000FF"/>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pPr>
      <w:spacing w:after="0"/>
    </w:pPr>
  </w:style>
  <w:style w:type="paragraph" w:styleId="af9">
    <w:name w:val="List Paragraph"/>
    <w:basedOn w:val="a"/>
    <w:pPr>
      <w:ind w:left="720"/>
    </w:pPr>
  </w:style>
  <w:style w:type="paragraph" w:customStyle="1" w:styleId="ConsPlusNormal">
    <w:name w:val="ConsPlusNormal"/>
    <w:pPr>
      <w:widowControl w:val="0"/>
    </w:pPr>
    <w:rPr>
      <w:rFonts w:ascii="Arial" w:hAnsi="Arial" w:cs="Arial"/>
      <w:sz w:val="16"/>
      <w:szCs w:val="16"/>
    </w:rPr>
  </w:style>
  <w:style w:type="character" w:styleId="afa">
    <w:name w:val="annotation reference"/>
    <w:semiHidden/>
    <w:rPr>
      <w:rFonts w:cs="Times New Roman"/>
      <w:sz w:val="16"/>
      <w:szCs w:val="16"/>
    </w:rPr>
  </w:style>
  <w:style w:type="paragraph" w:styleId="afb">
    <w:name w:val="annotation text"/>
    <w:basedOn w:val="a"/>
    <w:link w:val="afc"/>
    <w:semiHidden/>
    <w:pPr>
      <w:spacing w:line="240" w:lineRule="auto"/>
    </w:pPr>
    <w:rPr>
      <w:sz w:val="20"/>
      <w:szCs w:val="20"/>
    </w:rPr>
  </w:style>
  <w:style w:type="character" w:customStyle="1" w:styleId="afc">
    <w:name w:val="Текст примечания Знак"/>
    <w:link w:val="afb"/>
    <w:semiHidden/>
    <w:rPr>
      <w:rFonts w:cs="Times New Roman"/>
      <w:sz w:val="20"/>
      <w:szCs w:val="20"/>
    </w:rPr>
  </w:style>
  <w:style w:type="paragraph" w:styleId="afd">
    <w:name w:val="Balloon Text"/>
    <w:basedOn w:val="a"/>
    <w:link w:val="afe"/>
    <w:semiHidden/>
    <w:pPr>
      <w:spacing w:after="0" w:line="240" w:lineRule="auto"/>
    </w:pPr>
    <w:rPr>
      <w:rFonts w:ascii="Segoe UI" w:hAnsi="Segoe UI" w:cs="Segoe UI"/>
      <w:sz w:val="18"/>
      <w:szCs w:val="18"/>
    </w:rPr>
  </w:style>
  <w:style w:type="character" w:customStyle="1" w:styleId="afe">
    <w:name w:val="Текст выноски Знак"/>
    <w:link w:val="afd"/>
    <w:semiHidden/>
    <w:rPr>
      <w:rFonts w:ascii="Segoe UI" w:hAnsi="Segoe UI" w:cs="Segoe UI"/>
      <w:sz w:val="18"/>
      <w:szCs w:val="18"/>
    </w:rPr>
  </w:style>
  <w:style w:type="paragraph" w:styleId="aff">
    <w:name w:val="annotation subject"/>
    <w:basedOn w:val="afb"/>
    <w:next w:val="afb"/>
    <w:link w:val="aff0"/>
    <w:semiHidden/>
    <w:rPr>
      <w:b/>
      <w:bCs/>
    </w:rPr>
  </w:style>
  <w:style w:type="character" w:customStyle="1" w:styleId="aff0">
    <w:name w:val="Тема примечания Знак"/>
    <w:link w:val="aff"/>
    <w:semiHidden/>
    <w:rPr>
      <w:rFonts w:cs="Times New Roman"/>
      <w:b/>
      <w:bCs/>
      <w:sz w:val="20"/>
      <w:szCs w:val="20"/>
    </w:rPr>
  </w:style>
  <w:style w:type="character" w:customStyle="1" w:styleId="ab">
    <w:name w:val="Верхний колонтитул Знак"/>
    <w:link w:val="aa"/>
    <w:rPr>
      <w:rFonts w:cs="Times New Roman"/>
    </w:rPr>
  </w:style>
  <w:style w:type="character" w:customStyle="1" w:styleId="ad">
    <w:name w:val="Нижний колонтитул Знак"/>
    <w:link w:val="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431" TargetMode="External"/><Relationship Id="rId18" Type="http://schemas.openxmlformats.org/officeDocument/2006/relationships/hyperlink" Target="https://login.consultant.ru/link/?req=doc&amp;base=LAW&amp;n=454097" TargetMode="External"/><Relationship Id="rId26" Type="http://schemas.openxmlformats.org/officeDocument/2006/relationships/hyperlink" Target="https://login.consultant.ru/link/?req=doc&amp;base=RLAW049&amp;n=164139&amp;dst=177129" TargetMode="External"/><Relationship Id="rId39" Type="http://schemas.openxmlformats.org/officeDocument/2006/relationships/hyperlink" Target="https://login.consultant.ru/link/?req=doc&amp;base=LAW&amp;n=470713&amp;dst=6772" TargetMode="External"/><Relationship Id="rId21" Type="http://schemas.openxmlformats.org/officeDocument/2006/relationships/hyperlink" Target="https://login.consultant.ru/link/?req=doc&amp;base=RLAW049&amp;n=171672&amp;dst=125097" TargetMode="External"/><Relationship Id="rId34" Type="http://schemas.openxmlformats.org/officeDocument/2006/relationships/hyperlink" Target="https://login.consultant.ru/link/?req=doc&amp;base=LAW&amp;n=465521&amp;dst=100018" TargetMode="External"/><Relationship Id="rId42" Type="http://schemas.openxmlformats.org/officeDocument/2006/relationships/hyperlink" Target="https://login.consultant.ru/link/?req=doc&amp;base=RLAW049&amp;n=171672&amp;dst=177143" TargetMode="External"/><Relationship Id="rId47" Type="http://schemas.openxmlformats.org/officeDocument/2006/relationships/hyperlink" Target="https://login.consultant.ru/link/?req=doc&amp;base=LAW&amp;n=470713&amp;dst=3704" TargetMode="External"/><Relationship Id="rId50" Type="http://schemas.openxmlformats.org/officeDocument/2006/relationships/image" Target="media/image1.wmf"/><Relationship Id="rId7" Type="http://schemas.openxmlformats.org/officeDocument/2006/relationships/hyperlink" Target="https://login.consultant.ru/link/?req=doc&amp;base=LAW&amp;n=450750" TargetMode="External"/><Relationship Id="rId2" Type="http://schemas.openxmlformats.org/officeDocument/2006/relationships/styles" Target="styles.xml"/><Relationship Id="rId16" Type="http://schemas.openxmlformats.org/officeDocument/2006/relationships/hyperlink" Target="https://login.consultant.ru/link/?req=doc&amp;base=RLAW049&amp;n=164139&amp;dst=100047" TargetMode="External"/><Relationship Id="rId29" Type="http://schemas.openxmlformats.org/officeDocument/2006/relationships/hyperlink" Target="https://login.consultant.ru/link/?req=doc&amp;base=RLAW049&amp;n=164139&amp;dst=177130" TargetMode="External"/><Relationship Id="rId11" Type="http://schemas.openxmlformats.org/officeDocument/2006/relationships/hyperlink" Target="https://login.consultant.ru/link/?req=doc&amp;base=RLAW049&amp;n=164139&amp;dst=100047" TargetMode="External"/><Relationship Id="rId24" Type="http://schemas.openxmlformats.org/officeDocument/2006/relationships/hyperlink" Target="https://login.consultant.ru/link/?req=doc&amp;base=RLAW049&amp;n=171672&amp;dst=125097" TargetMode="External"/><Relationship Id="rId32" Type="http://schemas.openxmlformats.org/officeDocument/2006/relationships/hyperlink" Target="https://login.consultant.ru/link/?req=doc&amp;base=RLAW049&amp;n=171672&amp;dst=125097" TargetMode="External"/><Relationship Id="rId37" Type="http://schemas.openxmlformats.org/officeDocument/2006/relationships/hyperlink" Target="https://login.consultant.ru/link/?req=doc&amp;base=LAW&amp;n=470713&amp;dst=3704" TargetMode="External"/><Relationship Id="rId40" Type="http://schemas.openxmlformats.org/officeDocument/2006/relationships/hyperlink" Target="https://login.consultant.ru/link/?req=doc&amp;base=LAW&amp;n=426999&amp;dst=100008" TargetMode="External"/><Relationship Id="rId45" Type="http://schemas.openxmlformats.org/officeDocument/2006/relationships/hyperlink" Target="https://login.consultant.ru/link/?req=doc&amp;base=RLAW049&amp;n=171672&amp;dst=125076"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login.consultant.ru/link/?req=doc&amp;base=RLAW049&amp;n=164139&amp;dst=100047" TargetMode="External"/><Relationship Id="rId19" Type="http://schemas.openxmlformats.org/officeDocument/2006/relationships/hyperlink" Target="https://login.consultant.ru/link/?req=doc&amp;base=LAW&amp;n=148609" TargetMode="External"/><Relationship Id="rId31" Type="http://schemas.openxmlformats.org/officeDocument/2006/relationships/hyperlink" Target="https://login.consultant.ru/link/?req=doc&amp;base=RLAW049&amp;n=171672&amp;dst=153918" TargetMode="External"/><Relationship Id="rId44" Type="http://schemas.openxmlformats.org/officeDocument/2006/relationships/hyperlink" Target="https://login.consultant.ru/link/?req=doc&amp;base=RLAW049&amp;n=171672&amp;dst=14080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4169" TargetMode="External"/><Relationship Id="rId14" Type="http://schemas.openxmlformats.org/officeDocument/2006/relationships/hyperlink" Target="https://login.consultant.ru/link/?req=doc&amp;base=LAW&amp;n=454097" TargetMode="External"/><Relationship Id="rId22" Type="http://schemas.openxmlformats.org/officeDocument/2006/relationships/hyperlink" Target="https://login.consultant.ru/link/?req=doc&amp;base=RLAW049&amp;n=171672&amp;dst=153918" TargetMode="External"/><Relationship Id="rId27" Type="http://schemas.openxmlformats.org/officeDocument/2006/relationships/hyperlink" Target="https://login.consultant.ru/link/?req=doc&amp;base=RLAW049&amp;n=171672&amp;dst=125097" TargetMode="External"/><Relationship Id="rId30" Type="http://schemas.openxmlformats.org/officeDocument/2006/relationships/hyperlink" Target="https://login.consultant.ru/link/?req=doc&amp;base=RLAW049&amp;n=171672&amp;dst=125097" TargetMode="External"/><Relationship Id="rId35" Type="http://schemas.openxmlformats.org/officeDocument/2006/relationships/hyperlink" Target="https://login.consultant.ru/link/?req=doc&amp;base=RLAW049&amp;n=171672&amp;dst=133213" TargetMode="External"/><Relationship Id="rId43" Type="http://schemas.openxmlformats.org/officeDocument/2006/relationships/hyperlink" Target="https://login.consultant.ru/link/?req=doc&amp;base=RLAW049&amp;n=171672&amp;dst=100047" TargetMode="External"/><Relationship Id="rId48" Type="http://schemas.openxmlformats.org/officeDocument/2006/relationships/hyperlink" Target="https://login.consultant.ru/link/?req=doc&amp;base=LAW&amp;n=470713&amp;dst=3722" TargetMode="External"/><Relationship Id="rId8" Type="http://schemas.openxmlformats.org/officeDocument/2006/relationships/hyperlink" Target="https://login.consultant.ru/link/?req=doc&amp;base=LAW&amp;n=435381&amp;dst=100018"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login.consultant.ru/link/?req=doc&amp;base=RLAW049&amp;n=164139&amp;dst=100047" TargetMode="External"/><Relationship Id="rId17" Type="http://schemas.openxmlformats.org/officeDocument/2006/relationships/hyperlink" Target="https://login.consultant.ru/link/?req=doc&amp;base=RLAW049&amp;n=126581&amp;dst=100018" TargetMode="External"/><Relationship Id="rId25" Type="http://schemas.openxmlformats.org/officeDocument/2006/relationships/hyperlink" Target="https://login.consultant.ru/link/?req=doc&amp;base=RLAW049&amp;n=171672&amp;dst=153918" TargetMode="External"/><Relationship Id="rId33" Type="http://schemas.openxmlformats.org/officeDocument/2006/relationships/hyperlink" Target="https://login.consultant.ru/link/?req=doc&amp;base=RLAW049&amp;n=171672&amp;dst=153918" TargetMode="External"/><Relationship Id="rId38" Type="http://schemas.openxmlformats.org/officeDocument/2006/relationships/hyperlink" Target="https://login.consultant.ru/link/?req=doc&amp;base=LAW&amp;n=470713&amp;dst=3722" TargetMode="External"/><Relationship Id="rId46" Type="http://schemas.openxmlformats.org/officeDocument/2006/relationships/hyperlink" Target="https://login.consultant.ru/link/?req=doc&amp;base=RLAW049&amp;n=171672&amp;dst=125146" TargetMode="External"/><Relationship Id="rId20" Type="http://schemas.openxmlformats.org/officeDocument/2006/relationships/hyperlink" Target="https://login.consultant.ru/link/?req=doc&amp;base=RLAW049&amp;n=171672&amp;dst=133213" TargetMode="External"/><Relationship Id="rId41" Type="http://schemas.openxmlformats.org/officeDocument/2006/relationships/hyperlink" Target="https://login.consultant.ru/link/?req=doc&amp;base=RLAW049&amp;n=171672&amp;dst=17713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54116" TargetMode="External"/><Relationship Id="rId23" Type="http://schemas.openxmlformats.org/officeDocument/2006/relationships/hyperlink" Target="https://login.consultant.ru/link/?req=doc&amp;base=RLAW049&amp;n=171672&amp;dst=125098" TargetMode="External"/><Relationship Id="rId28" Type="http://schemas.openxmlformats.org/officeDocument/2006/relationships/hyperlink" Target="https://login.consultant.ru/link/?req=doc&amp;base=RLAW049&amp;n=171672&amp;dst=153918" TargetMode="External"/><Relationship Id="rId36" Type="http://schemas.openxmlformats.org/officeDocument/2006/relationships/hyperlink" Target="https://login.consultant.ru/link/?req=doc&amp;base=LAW&amp;n=467420&amp;dst=100044" TargetMode="External"/><Relationship Id="rId49" Type="http://schemas.openxmlformats.org/officeDocument/2006/relationships/hyperlink" Target="https://login.consultant.ru/link/?req=doc&amp;base=RLAW049&amp;n=171672&amp;dst=125146"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9670</Words>
  <Characters>55122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PNO</Company>
  <LinksUpToDate>false</LinksUpToDate>
  <CharactersWithSpaces>64663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Цилковская Евгения Викторовна</dc:creator>
  <cp:lastModifiedBy>Мельникова Наталья Михайловна</cp:lastModifiedBy>
  <cp:revision>39</cp:revision>
  <dcterms:created xsi:type="dcterms:W3CDTF">2024-08-22T08:54:00Z</dcterms:created>
  <dcterms:modified xsi:type="dcterms:W3CDTF">2024-11-15T07:57:00Z</dcterms:modified>
  <cp:version>1048576</cp:version>
</cp:coreProperties>
</file>