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«Приложение № 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31.01.2017 № 14-п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 субсидий юридическим лицам, индивидуальным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предпринимателям - производителям товаров, работ, услуг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реализацию мероприятий государственной программы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 «Развитие субъектов малого и среднего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предпринимательства 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I. Общие положения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Настоящий Порядок разработан в соответств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- Федеральный закон № 209-ФЗ), постановлением Правительства Российской Фед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Новосибирской области от 02.07.2008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245-ОЗ «О 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юрид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ическим лицам, индивидуальным предпринимателям - производителям товаров, работ, услуг в рамках реализации государственной программы Новосибирской области «Развитие субъектов малого и среднего предпринимательства в Новосибирской области» (далее - субсидии).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Субсидии предоставляются министерством промышленности, торговли и развития предпринимательства Новосибирской области (да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«Интернет» (далее соответственно - сеть «Интернет»,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Цель предоставления субсидий - оказание финансовой поддержки субъек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там малого и среднего предпринимательства (далее - субъекты МСП) в форме возмещения части затрат субъектов МСП,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Предоставление субсидий субъектам МСП осуществляется в пределах ли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митов (остатков лимитов) бюджетных обязательств, утвержденных на реализацию соответствующего мероприятия государственной программы Новосибирской области «Развитие субъектов малого и среднего предпринимательства в Новосибирской области» (далее - Программа).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Получателями субсидий являются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юридические лица и индивидуальные предприниматели, отнесенные в соответствии с Федеральным законом № 209-ФЗ к субъектам МСП и внесенные в единый реестр субъектов МСП, а также осуществляющие деятельность в Новосибирской области и соответствующие категориям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получателей субсидий, указанным в приложении № 1 «Категории получателей субсидии, результаты предоставления субсидии, размер субсидии и направления затрат, на возмещение которых предоставляется субсидия» к настоящему Порядку (далее - получатели субсидий).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 Определение получателей субсидий осуществляется по результатам отбора путем проведения конкурса, организатором которого является Министерство (далее - отбор).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 1781 (далее - Правила отбора).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Проведение отбора осуществляется в пределах объема средств, предусмотренных в составе областного бюджета Новосибирской области на соответствующий финансовый период.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II. Условия и порядок предоставления субсидий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Субсидии предоставляются при соответствии получателя субсидии (участника отбора) на дату рассмотрения заявки и дату заключения соглашения о предоставлении субсидии (далее – соглашение) следующим требованиям: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4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отсутствует просроченная задолженность по возврату в областной бюд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1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8) юридическое лицо не находится в процессе реорганизации (за исключением реорганизации в форме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прекратил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деятельность в качестве индивидуального предпринимателя;</w:t>
      </w:r>
      <w:r>
        <w:rPr>
          <w:rFonts w:ascii="Times New Roman" w:hAnsi="Times New Roman" w:cs="Times New Roman"/>
          <w:sz w:val="16"/>
          <w:highlight w:val="none"/>
        </w:rPr>
      </w:r>
      <w:r>
        <w:rPr>
          <w:rFonts w:ascii="Times New Roman" w:hAnsi="Times New Roman" w:cs="Times New Roman"/>
          <w:sz w:val="1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10) не является участником соглашений о разделе продукции;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12) не осуществляет предпринимательскую деятельность в сфере игорного бизнеса;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если иное не предусмотрено Правительством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14) представлены документы, указанные в приложении № 2 к настоящему Порядку (за исключением документов, запрашиваемых Мин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объявлении о проведении отбора, являющиеся достоверными и позволяющие рассчитать размер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16) с даты признан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17) по итогам работы за последний отчетный год: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обеспечена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для субъектов МСП, действующих с момента государственной регистрации более трех лет по состоянию на 1 янв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аря года предоставления субсидии, обеспечено превышение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менее чем в 2 раза - для субъектов МСП, осуществляющих деятельность в г. Новосибирске;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менее чем в 1,4 раза - для субъектов МСП, осуществляющих деятельность в г. Оби, г. Бердске, г.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Искитиме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Кольцово;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субъектов МСП, осуществляющих деятельность в иных населенных пунктах Новосибирской области, а также для субъектов МСП, более 50% среднесписочной численности работников которых составляют инвалиды, а их доля в фонде оплаты 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Место осуществления деятельности определяется как место государственной регистрации участника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Участники отбора подают заявку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в соответствии с разделом V Правил отбора (далее – заявка).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заявке в ГИИС «Электронный бюджет» прилагаются документы, указанные в приложении № 2 к настоящему Порядку (далее - документы) </w:t>
      </w:r>
      <w:r>
        <w:rPr>
          <w:rStyle w:val="968"/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в виде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Проверка участника отбора (получателя субсидии) на соответствие требованиям, указанным в пункте 7 настоящего Порядка, осуществляется в срок не позднее 30 рабочих дней после подписания протокола вскрытия заявок в соответствии с Правилами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проверке получателя субсидии (участника отбора) на соответствие требованиям, указанным в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ункте 7 настоящего Порядка, Министерство использует данные автоматической проверки в ГИИС «Электронный бюджет»,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данные, запрашиваемые по системе межведомственного электронного взаимодействия (далее – СМЭВ)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информацию (сведения), указанную в заявке, опубликованную в сети «Интернет» на официальном сайте Федеральной службы по финансовому мониторингу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Росфинмониторинг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), официальном сайте Министерства юстиции Российской Федерации и сервисе Федеральной налоговой службы России «Предоставление сведений из единого государственного реестра юридических лиц/единого государственного реестра индивидуальных предпринимателей».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 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несоответстви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представленных получателем субсидии заявки и (или)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установление факта недостоверности представленной получателем субсидии информации;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несоответствие получателя субсидии требованиям, установленным в пункте 7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недостаточность лимитов бюджетных обязательств, утвержденных на предоставление субсидий на соответствующий финансовый год.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Отказ в предоставлении субсидии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основанию, указанному в подпункте 4 настоящего пункта, применяется в отношении участников отбора, в отношении которых отсутствуют иные основания для отказа в предоставлении субсидии и которые включены в рейтинг, сформированный по результатам ранжирования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поступивших заявок в соответствии с пунктом 11 настоящего Порядка, но не признаны победителями отбора в соответствии с пунктом 76 Правил отбора.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Ранжирование заявок осуществляется в соответствии со следующим критериями: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133"/>
        <w:gridCol w:w="49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Критерий оценки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Весовое значение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Значение критерия оценки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Налоговая нагрузка (сумма платежей участника отбора в консолидированный бюджет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Новосибирской области за год, предшествующий году предоставления субсидии, по следующим налогам: налог на прибыль организаций, налог, уплачиваемый в связи с применением упрощенной системы налогообложения, налог, уплачиваемый в связи с применением патентно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й системы налогообложения, единый сельскохозяйственный налог, налог на доходы физических лиц, налог на имущество организаций, транспортный налог, земельный налог) / выручка (доход) участника отбора от реализации товаров (работ, услуг) за аналогичный период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- количество баллов, присуждаемое i-й заявке по указанному критерию, определяется по формуле: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Ri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 = (Ni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) x 100 /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Nmax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где: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Ni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- значение налоговой нагрузки i-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участника отбора;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минимальное значение критерия из всех участников отбора;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Nmax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- максимальное значение критерия из всех участников отбора.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Значение критерия учитывается в целых числах по правилам математического округления.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Место осуществления деятельности участника отбора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40 до 100 баллов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40 баллов - г. Новосибирск;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60 баллов - г. Бердск, г.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Искитим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р.п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. Кольцово, г. Обь, Новосибирский район;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80 баллов - городские поселения Новосибирской области, являющиеся районными (окружными) центрами;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90 баллов - сельские поселения, являющиеся районными (окружными) центрами, городские поселения, не являющиеся районными (окружными) центрами;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100 баллов - сельские поселения Новосибирской области, не являющиеся районными (окружными) центрами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Среднегодовой темп роста выручки (доходов) участника отбора за два года, предшествующих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R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bscript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= 0 баллов - среднегодовой темп роста выручки (доходов) менее 120%;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R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bscript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= 100 баллов - среднегодовой темп роста выручки (доходов) 120% или больше, где: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position w:val="-4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position w:val="-40"/>
                <w:sz w:val="28"/>
                <w:szCs w:val="28"/>
                <w:highlight w:val="non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13829" cy="636785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6554161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>
                                <a:extLst>
                                  <a:ext uri="{96DAC541-7B7A-43D3-8B79-37D633B846F1}">
                                    <asvg:svgBlip xmlns:asvg="http://schemas.microsoft.com/office/drawing/2016/SVG/main" r:embed="rId20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313828" cy="636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2.19pt;height:50.14pt;mso-wrap-distance-left:0.00pt;mso-wrap-distance-top:0.00pt;mso-wrap-distance-right:0.00pt;mso-wrap-distance-bottom:0.00pt;rotation:0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position w:val="-4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T - значение критерия i-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заявителя;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vertAlign w:val="subscript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- выручка (доход) участника отбора за год, где: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t -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 отношении участника отбора в единый реестр субъектов МСП внесено указание, что он является социальным предприятием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0,05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= 0 баллов - нет;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= 100 баллов - 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Принятие участником отбора обязательства по сохранению или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увеличению среднесписочной численности работников в год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 сравнению с годом, предшествующим</w:t>
            </w:r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году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= 0 баллов, если участником отбора принимается обязательство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сохранению среднесписочной численности работников.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 10 баллов за каждого работника, на которого участник отбора обязуется увеличить среднесписочную численность, но не более 100 баллов.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= 100 баллов, если участником отбора принимается обязательство по увеличению среднесписочной численности работников на 10 или более человек.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Для индивидуальных предпринимателей значение определяется с учетом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Принятие участником отбора обязательства по увеличению выручки (дохода) на одного работника (учитывается только среднесписочная численность) в год предоставления субсидии по сравнению с годом, предшествующим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0,35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20 до 100 баллов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 баллов, если участником отбора принимается обязательство по увеличению выручки (дохода) на 10%;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Далее по 10 баллов за каждые 5% увеличения выручки (дохода) на одного работника среднесписочной численности, но не более 100 баллов.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Ri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= 100 баллов, если участником отбора принимается обязательство по увеличению выручки (дохода) на 50% и более.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(в %), на который участник отбора обязуется увеличить выручку (доход), указывается участником отбора в заявке.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Для индивидуальных предпринимателей значение среднесписочной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определяется с учетом индивидуального предпринимателя.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 Размер субсидии и направления затрат, на возмещение которых предоставляется субсидия, установлены в приложении № 1 «</w:t>
      </w:r>
      <w:r>
        <w:rPr>
          <w:rFonts w:ascii="Times New Roman" w:hAnsi="Times New Roman" w:cs="Times New Roman"/>
          <w:sz w:val="28"/>
          <w:szCs w:val="24"/>
          <w:highlight w:val="none"/>
        </w:rPr>
        <w:t xml:space="preserve">Категории получателей субсидии, результаты предоставления субсидии, размер субсидии и направления затрат, на возмещение которых предоставляется субсидия»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настоящему Порядку.</w:t>
      </w: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 При предоставлении субсидии не подлежа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 Результаты предоставления субсидии (далее - результаты) установлены в приложении № 1 </w:t>
      </w:r>
      <w:r>
        <w:rPr>
          <w:rFonts w:ascii="Times New Roman" w:hAnsi="Times New Roman" w:cs="Times New Roman"/>
          <w:sz w:val="28"/>
          <w:szCs w:val="24"/>
          <w:highlight w:val="none"/>
        </w:rPr>
        <w:t xml:space="preserve">«Категории получателей субсидии, результаты предоставления субсидии, размер субсидии и направления затрат,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к настоящему Порядку.</w:t>
      </w: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 Министерство заключает с получателем субсидии соглашение в течение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десяти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календарных дней со дня принятия Министерством решения о предоставлении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 Соглашение (дополнительное соглашение к соглашению) заключается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ГИИС «Электронный бю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джет» в соответствии с типовой формой соглашения, утвержденной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форма соглашения, утвержденная приказом № 80-НПА).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 В случае если получатель субсидии не подписал соглашение и не направил возражения по проекту соглашения в срок, указанный в пункте 15 настоящего Порядка, получатель субсидии считается уклонившимся от заключения соглашения.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 В соглашении должны содержаться, в том числе: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значения результатов, установленных в приложении № 1 к настоящему Порядку;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размер субсидии;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срок перечисления субсидии;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условие о согласовании новых условий соглашения или о расторжении соглашения 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 Перечисление субсидии осуществляется не позднее 10-го рабочего дня, следующего за днем принятия Министерством решения о предоставлении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 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21. При реорганизации получателя субсидии, являющегося юридическим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 При реорганизации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 При прекращении деятельности получателя субсидии, являющегося индивидуальным предпринимателем, осуществляющим деят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III. Требования к отчетности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Получатели субсидии ежеквартально не позднее пятого рабочего дня, следующего за отчетным кварталом, представляют в ГИИС «Электронный бюджет» отчет о достижении значений результатов по форме, определенной формой соглашения, утвержденной приказом № 80-НПА.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 Получатели субсидии представляют в ГИИС «Электронный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бюджет» дополнительную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отчетность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none"/>
        </w:rPr>
        <w:t xml:space="preserve">(документы на бумажном носителе, преобразованные в электронную форму путем сканирования)</w:t>
      </w:r>
      <w:r>
        <w:rPr>
          <w:rFonts w:ascii="Calibri" w:hAnsi="Calibri" w:eastAsia="Calibri" w:cs="Calibri"/>
          <w:b/>
          <w:color w:val="000000"/>
          <w:sz w:val="24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срок, установленный соглашением: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копии документов по финансово-хозяйственной деятельности получателя субсидии за год предоставления субсидии: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 отчет о финансовых результатах с отметкой налогового органа – для юридических лиц, применяющих общую систему налогообложения;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налогов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отметкой налогового органа - для субъектов МСП, применяющих упрощенную систему налогообложения;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 налогов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отметкой налогового органа - для индивидуальных предпринимателей, применяющих общую систему налогообложения;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 налогов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таблиц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экономическим показателям деятельности получателя субсидии в зависимости от применяемой системы налогообложения, заверенная подписью и печатью получателя субсидии (при наличии печати) по форме, установленной соглашением.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26. Министерство в течение 20 рабочих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дней со дня окончания срока представления отчета о достижении значений результатов, указанного в пункте 24 настоящего Порядка, и (или) срока представления дополнительной отчетности, указанного в пункте 25 настоящего Порядка, осуществляет его (их) проверку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полноту и корректность заполнения.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проверке отчета о достижении значений резуль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татов используются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данные, запрашиваемые по СМЭВ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части среднесписочной численности работников за год предоставления субсидии), и данные дополнительной отчетности (в части выручки (дохода)).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27. Достижение значений результатов определяется следующим образом: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среднесписочной численности работников - путем сравнения фактически достигнутого значения результата по данным СМЭВ с плановым значением результата, установленным соглашением;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увеличению выручки (дохода) на одного работника - путем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сравнения значения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результата, рассчитанного Министерством с использованием данных, указанных в абзаце втором пункта 26 настоящего Порядка, с плановым значением результата, установленным соглашением.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28. По результатам проверки Министерство принимает отчет</w:t>
      </w:r>
      <w:r>
        <w:rPr>
          <w:rFonts w:ascii="Times New Roman" w:hAnsi="Times New Roman" w:eastAsia="Times New Roman" w:cs="Times New Roman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достижении значений результатов и (или) дополнительную отчетность или возвращает его (их) на доработку получателю субсидии с указанием причин возврата, указанных в пунктах 29 и (или) 30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29. Возврат на доработку отчета о достижении значений результатов осуществляется в следующих случаях: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 форме отчета о достижении значений результатов не заполнены обязательные к заполнению графы;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не приложен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none"/>
        </w:rPr>
        <w:t xml:space="preserve">отчет о достижении значений результатов на бумажном носителе, преобразованный в электронную форму путем сканирования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отсутствии технической возможности формирования автоматической формы отчета в ГИИС «Электронный бюджет»;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наличие в отчете о достижении значений результатов технических ошибок, опечаток, зачеркиваний, исправлений, нечитаемых фрагментов;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плановые значения результатов в отчете о достижении значений результатов не совпадают с плановыми значениями результатов, указанными в соглашении;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фактически достигнутое значение результата по среднесписочной численности работников указано не в целых единицах;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фактически достигнутое значение среднесписочной численности работников не совпадает со значением, полученным Министерством по СМЭВ;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 фактически достигнутое значение результата по увеличению выручки на одного работника не совпадает со значением, рассчитанным Министерством с использованием данных, указанных в абзаце втором пункта 26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30. Возврат на доработку дополнительной отчетности осуществляется в следующих случаях: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 заполнены обязательные к заполнению графы таблицы по экономическим показателям деятельности получателя субсидии в зависимости от применяемой системы налогообложения, указанной в подпункте 2 пункта 25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не представлена или представлена не в полном объеме дополнительная отчетность;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наличие технических ошибок, опечаток, зачеркиваний, исправлений, нечитаемых фрагментов;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данные в таблице, указанной в подпункте 2 пункта 25 Порядка, за год, предшествующий году предоставления субсидии, не совпадают с данными, указанными за год, предшествующий году предоставления субсидии, при подаче заявки.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31. Получатель субсидии осуществляет доработку отчета о достижении значений результатов и (или) дополнительной отчетности в течение пяти рабочих дней со дня получения на доработку и представляет доработанный отчет</w:t>
      </w:r>
      <w:r>
        <w:rPr>
          <w:rFonts w:ascii="Times New Roman" w:hAnsi="Times New Roman" w:eastAsia="Times New Roman" w:cs="Times New Roman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достижении значений результатов и (или) дополнительную отчетность в ГИИС «Электронный бюджет».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Министерство в течение пяти рабочих дней со дня истечения срока, указанного в абзаце первом настоящего пункта, осуществляет проверку доработанного отчета о достижении значений результатов и (или) дополнительной отчетности, после чего принимает отчет</w:t>
      </w:r>
      <w:r>
        <w:rPr>
          <w:rFonts w:ascii="Times New Roman" w:hAnsi="Times New Roman" w:eastAsia="Times New Roman" w:cs="Times New Roman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достижении значений результатов и (или) дополнительную отчетность или направляет его (их) на повторную доработку в порядке, предусмотренном пунктами 28-30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32. Получатели субсидий несут ответственность за достоверность представленных сведений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Требования об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контроля за соблюдением условий и порядка предоставления субсидии и ответственности за их нарушения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33. Министерством проводится проверка соблюде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ния получателем субсидии условий и порядка предоставления субсидий, в том числе в части достижения результатов, а также проверка органом государственного финансового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34. Контроль за соблюдением получателем субсидии условий и порядка предоставления субсидии, в том числе в части достижения результатов, осуществляется Министерством путем проведения плановых и (или) внеплановых проверок.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Плановые проверки проводятся по месту нахождения Министерства на основании отчетов о достижении значений результатов и дополнительной отчетности.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35. Внеплановые проверки проводятся по месту нахождения получателя субсидии на основании приказа Министерства в следующих случаях: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непредставления получателем субсидии отчета о достижении значений результатов и (или) дополнительной отчетности;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установления при проверке отчета о достижении значений результатов и (или) дополнительной отчетности факта представления получателем субсидии недостоверных сведений;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выявления нарушений получателем субсидий порядка и условий предоставления субсидий при проведении проверок органами государственного финансового контроля;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поступления в Министерство от правоохранительных органов, органов государственной власти, юридических, физических лиц информации (кроме анонимных сообщений) о нарушении получателями субсидий порядка и условий предоставления субсидий.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36. В случае нарушения получателем субсидии условий, установленных при предоставлении субсидии, выявленного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том числе по фактам проверок, проведенных Министерством и органом государственного финансового контроля, субсидия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37. 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если получателем субсидии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итогам года предоставления субсидии допущены нарушения обязательств по достижению значений результатов, субсидия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Требование о возврате предъявляется Министерством в течение десяти рабочих дней после принятия отчета о достижении результатов.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38. Размер субсидии, подлежащий возврату,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V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= (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V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x k x m / n),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где: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V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- размер субсидии, предоставленной получателю субсидии в отчетном финансовом году;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m - количество результатов, по которым индекс, отражающий уровень 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недостижения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i-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результата, имеет положительное значение;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n - общее количество результатов;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k - коэффициент возврата субсидии.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Коэффициент возврата субсидии рассчитывается по формуле: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  <w:lang w:val="en-US"/>
        </w:rPr>
        <w:t xml:space="preserve">k = SUM D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none"/>
          <w:lang w:val="en-US"/>
        </w:rPr>
        <w:t xml:space="preserve"> / m,</w:t>
      </w:r>
      <w:r>
        <w:rPr>
          <w:rFonts w:ascii="Times New Roman" w:hAnsi="Times New Roman" w:cs="Times New Roman"/>
          <w:sz w:val="28"/>
          <w:szCs w:val="20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где</w:t>
      </w:r>
      <w:r>
        <w:rPr>
          <w:rFonts w:ascii="Times New Roman" w:hAnsi="Times New Roman" w:cs="Times New Roman"/>
          <w:sz w:val="28"/>
          <w:szCs w:val="20"/>
          <w:highlight w:val="none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0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D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- индекс, отражающий уровень 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недостижения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i-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результата.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недостижения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i-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результата.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Индекс, отражающий уровень 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недостижения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i-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результата, определяется по формуле: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D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= 1 - 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T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/ 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S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где: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T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- фактически достигнутое значение i-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результата на отчетную дату;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0"/>
          <w:highlight w:val="none"/>
        </w:rPr>
        <w:t xml:space="preserve">S</w:t>
      </w:r>
      <w:r>
        <w:rPr>
          <w:rFonts w:ascii="Times New Roman" w:hAnsi="Times New Roman" w:cs="Times New Roman"/>
          <w:sz w:val="28"/>
          <w:szCs w:val="20"/>
          <w:highlight w:val="none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- плановое значение i-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го</w:t>
      </w:r>
      <w:r>
        <w:rPr>
          <w:rFonts w:ascii="Times New Roman" w:hAnsi="Times New Roman" w:cs="Times New Roman"/>
          <w:sz w:val="28"/>
          <w:szCs w:val="20"/>
          <w:highlight w:val="none"/>
        </w:rPr>
        <w:t xml:space="preserve"> результата, установленное соглашением.</w:t>
      </w:r>
      <w:r>
        <w:rPr>
          <w:rFonts w:ascii="Times New Roman" w:hAnsi="Times New Roman" w:cs="Times New Roman"/>
          <w:sz w:val="28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39. В случае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недостижения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получателем субсидии в установленный в соглашении срок значения результата(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получатель субсидии обязан уплатить пени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размере одной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трехсотшестидесятой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ключевой ставки Центрального банка Российской Федерации, действующей на дату начала начисления пени, от суммы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подлежащей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возврату, за каждый день просрочки (с первого дня, следующего за плановой датой достижения результата, до дня возврата субсидии (части субсидии) в областной бюджет Новосибирской области)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течение 30 рабочих дней со дня предъявления Министерством требования об уплате пени.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Требование об уплате пени Министерством предъявляется в течение десяти рабочих дней со дня возврата субсидии (части субсидии) в областной бюджет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неуплаты пени в установленные сроки Министерство обязано принять меры для уплаты пени в судебном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40.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При предоставлении субсидии Министерством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оставления субсидии (контрольная точка), в порядке и по формам, утвержденным 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hAnsi="Times New Roman" w:cs="Times New Roman"/>
          <w:szCs w:val="16"/>
          <w:highlight w:val="none"/>
        </w:rPr>
      </w:r>
      <w:r>
        <w:rPr>
          <w:rFonts w:ascii="Times New Roman" w:hAnsi="Times New Roman" w:cs="Times New Roman"/>
          <w:szCs w:val="16"/>
          <w:highlight w:val="none"/>
        </w:rPr>
      </w:r>
    </w:p>
    <w:p>
      <w:pPr>
        <w:pStyle w:val="985"/>
        <w:jc w:val="both"/>
        <w:spacing w:before="160"/>
        <w:rPr>
          <w:rFonts w:ascii="Times New Roman" w:hAnsi="Times New Roman" w:cs="Times New Roman"/>
          <w:szCs w:val="16"/>
          <w:highlight w:val="none"/>
        </w:rPr>
        <w:sectPr>
          <w:headerReference w:type="default" r:id="rId9"/>
          <w:headerReference w:type="first" r:id="rId10"/>
          <w:footerReference w:type="default" r:id="rId15"/>
          <w:footerReference w:type="first" r:id="rId16"/>
          <w:footnotePr/>
          <w:endnotePr/>
          <w:type w:val="nextPage"/>
          <w:pgSz w:w="11906" w:h="16838" w:orient="portrait"/>
          <w:pgMar w:top="1134" w:right="567" w:bottom="1134" w:left="1417" w:header="709" w:footer="714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Cs w:val="16"/>
          <w:highlight w:val="none"/>
          <w:lang w:val="ru-RU"/>
        </w:rPr>
      </w:r>
      <w:r>
        <w:rPr>
          <w:rFonts w:ascii="Times New Roman" w:hAnsi="Times New Roman" w:cs="Times New Roman"/>
          <w:szCs w:val="16"/>
          <w:highlight w:val="none"/>
          <w:lang w:val="ru-RU"/>
        </w:rPr>
      </w:r>
      <w:r>
        <w:rPr>
          <w:rFonts w:ascii="Times New Roman" w:hAnsi="Times New Roman" w:cs="Times New Roman"/>
          <w:szCs w:val="16"/>
          <w:highlight w:val="non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Порядку предоставления субсидий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юридическим лицам,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индивидуальным предпринимателям - производителям товаров, работ, услуг на реализацию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программы Новосибирской области «Развитие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9356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  <w:t xml:space="preserve">Категории получателей субсидии, результаты предоставления субсидии, </w:t>
      </w: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  <w:t xml:space="preserve">размер субсидии и направления затрат,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4"/>
          <w:highlight w:val="none"/>
        </w:rPr>
      </w:r>
    </w:p>
    <w:tbl>
      <w:tblPr>
        <w:tblW w:w="147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3969"/>
        <w:gridCol w:w="6203"/>
      </w:tblGrid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br w:type="page" w:clear="all"/>
              <w:t xml:space="preserve">Категории получателей субсидии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Результаты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6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Размер субсидии и направления затрат, на возмещение которых предоставляется субсидия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Субъекты малого и сред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него предпринимательства (далее – субъекты МСП), осуществляющие основной вид деятельности *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21" w:tooltip="https://login.consultant.ru/link/?req=doc&amp;base=LAW&amp;n=462157&amp;dst=105016" w:history="1">
              <w:r>
                <w:rPr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), </w:t>
            </w:r>
            <w:hyperlink r:id="rId22" w:tooltip="https://login.consultant.ru/link/?req=doc&amp;base=LAW&amp;n=462157&amp;dst=105027" w:history="1">
              <w:r>
                <w:rPr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O, S (за исключением кодов 95 и 96), T, U Общероссийского классификатора видов экономической деятельности (ОК 029-2014 (КДЕС Ред. 2), субъекты МСП,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отношении которых в единый реестр субъектов МСП внесено 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казание о том, что они являются социальным предприятием, осуществившие приобретение оборудования в целях создания и (или) развития, и (или) модернизации производства товаров (работ, услуг) и (или) заключившие договор лизинга со следующим предметом лизинга: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 исключением оборудования, предназначенного для осуществления оптовой и розничной торговой деятельности субъектами МСП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1) Увеличение выручки (дохода)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(учитывается только среднесписочная численность) в год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предоставления субсидии по сравнению с годом, предшествующим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году предоставления субсидии, в размере, указанном в заявке, при сохранении среднесписочной численности работников 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предоставления субсидии по сравнению с годом,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предшествующим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году предоставления субсидии;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2) Увеличение выручки (дохода) на одного работника (учитывается только среднесписочная численность) в год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предоставления субсидии по сравнению с годом, предшествующим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году предоставления субсидии,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размере, указанном в заявке, и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увеличение среднесписочной численности работников в год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предоставления субсидии по сравнению с годом, предшествующим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году предоставления субсидии, в количестве, указанном в заявке.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Получатель субсидии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должен выбрать один из вариантов результатов и указать значения в заявке.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Значение результата по увеличению выручки (дохода) на одного работника рассчитывается по формуле: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((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/ S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) / (V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  <w:lang w:val="en-US"/>
              </w:rPr>
              <w:t xml:space="preserve">t-1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/ S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  <w:lang w:val="en-US"/>
              </w:rPr>
              <w:t xml:space="preserve">t-1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) - 1)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100%,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где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– размер выручки (дохода) получателя субсидии за год предоставления субсидии,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тыс. рублей;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– среднесписочная численность работников получателя субсидии за год предоставления субсидии;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  <w:t xml:space="preserve">t-1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- размер выручки (дохода) получателя субсидии за год, предшествующий году предоставления субсидии, тыс. рублей;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vertAlign w:val="subscript"/>
              </w:rPr>
              <w:t xml:space="preserve">t-1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- среднесписочная численность работников получателя субсидии за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62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а) 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но не более запрашиваемого размера субсидии, указанного в заявке;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б) 20% (без НДС **) от фактически произведенных на момент подачи 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явки затрат, связанных с уплатой субъектом МСП ежемесячных лизинговых платежей по действующим на момент подачи заявки договорам лизинга оборудования, включая затраты на монтаж оборудования, но не более запрашиваемого размера субсидии, указанного в заявке;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в) 50% (без НДС **) от первого взноса (аванса) при заключении договора лизинга оборудования по действующим на момент подачи заявки договорам лизинга оборудования, но не более запрашиваемого размера субсидии, указанного в заявке.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расчетный размер субсидии меньше запрашиваемого размера субсидии, указанного в заявке, субсидия предоставляется в расчетном размере.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Субсидированию подлежат затраты, произведенные в год предоставления субсидии и за два года, предшествующих году предоставления субсидии.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Сумма субсидий, указанных в подпунктах «а» – «в», должна составлять не более 5,0 млн рублей на одного получателя субсидии, а также не должна превышать размер фактически уплаченных получателем субсидии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налогов в консолидированный бюджет Новосибирской области за год, предшествующий году предоставления субсидии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Предмет лизинга и (или) приобретенное оборудование должны быть произведены не ранее года, предшествующего году заключения договора лизинга и (или) приобретения оборудования.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Правительства Российской Федерации от 01.01.2002 № 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МСП.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Субсидии предоставляются на возмещение части затрат на приобретение и (или) лизинг оборудования, используемого для основной деятельности субъектов МСП*.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Субсидия перечисляется единовременно.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*Для целей оказания финансовой поддержки основным видом деятельности является тот вид деятельности, выручк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 Ред. 2), суммируется. Поддержка может быть оказана, если сумма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выручки (дохода) по разделам Общероссийского классификатора видов экономической деятельности (ОК 029-2014 (КДЕС Ред. 2), указанным в графе «Категория получателей», превышает 50 процентов от общей суммы выручки (дохода) от реализации товаров, работ и услуг.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**Затраты, осуществленные в 2023-2024 гг., учитываются без НДС для субъектов МСП, применяющих общую систему налогообложения; затраты, осуществленные в 2025 году и позже, учитываются без НДС для всех субъектов МСП.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5"/>
        <w:ind w:left="9638"/>
        <w:jc w:val="center"/>
        <w:spacing w:before="16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5"/>
        <w:jc w:val="center"/>
        <w:rPr>
          <w:rFonts w:ascii="Times New Roman" w:hAnsi="Times New Roman" w:cs="Times New Roman"/>
          <w:b/>
          <w:sz w:val="48"/>
          <w:szCs w:val="56"/>
          <w:highlight w:val="none"/>
        </w:rPr>
      </w:pPr>
      <w:r>
        <w:rPr>
          <w:rFonts w:ascii="Times New Roman" w:hAnsi="Times New Roman" w:cs="Times New Roman"/>
          <w:b/>
          <w:sz w:val="48"/>
          <w:szCs w:val="56"/>
          <w:highlight w:val="none"/>
          <w:lang w:val="ru-RU"/>
        </w:rPr>
      </w:r>
      <w:r>
        <w:rPr>
          <w:rFonts w:ascii="Times New Roman" w:hAnsi="Times New Roman" w:cs="Times New Roman"/>
          <w:b/>
          <w:sz w:val="48"/>
          <w:szCs w:val="56"/>
          <w:highlight w:val="none"/>
          <w:lang w:val="ru-RU"/>
        </w:rPr>
      </w:r>
      <w:r>
        <w:rPr>
          <w:rFonts w:ascii="Times New Roman" w:hAnsi="Times New Roman" w:cs="Times New Roman"/>
          <w:b/>
          <w:sz w:val="48"/>
          <w:szCs w:val="56"/>
          <w:highlight w:val="none"/>
        </w:rPr>
      </w:r>
    </w:p>
    <w:p>
      <w:pPr>
        <w:pStyle w:val="985"/>
        <w:ind w:firstLine="540"/>
        <w:jc w:val="both"/>
        <w:spacing w:before="160"/>
        <w:rPr>
          <w:rFonts w:ascii="Times New Roman" w:hAnsi="Times New Roman" w:eastAsia="Times New Roman" w:cs="Times New Roman"/>
          <w:szCs w:val="16"/>
          <w:highlight w:val="none"/>
        </w:rPr>
        <w:sectPr>
          <w:headerReference w:type="default" r:id="rId11"/>
          <w:headerReference w:type="first" r:id="rId12"/>
          <w:footerReference w:type="first" r:id="rId17"/>
          <w:footnotePr/>
          <w:endnotePr/>
          <w:type w:val="nextPage"/>
          <w:pgSz w:w="16838" w:h="11906" w:orient="landscape"/>
          <w:pgMar w:top="1417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Cs w:val="16"/>
          <w:highlight w:val="none"/>
          <w:lang w:val="ru-RU"/>
        </w:rPr>
      </w:r>
      <w:r>
        <w:rPr>
          <w:rFonts w:ascii="Times New Roman" w:hAnsi="Times New Roman" w:eastAsia="Times New Roman" w:cs="Times New Roman"/>
          <w:szCs w:val="16"/>
          <w:highlight w:val="none"/>
          <w:lang w:val="ru-RU"/>
        </w:rPr>
      </w:r>
      <w:r>
        <w:rPr>
          <w:rFonts w:ascii="Times New Roman" w:hAnsi="Times New Roman" w:eastAsia="Times New Roman" w:cs="Times New Roman"/>
          <w:szCs w:val="16"/>
          <w:highlight w:val="non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Порядку предоставления субсидий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юридическим лицам,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индивидуальным предпринимателям - производителям товаров, работ, услуг на реализацию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программы Новосибирской области «Развитие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 документов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предоставления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Копии документов по финансово-хозяйственной деятельности участника отбора: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 *;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отбора, применяющие упрощенную систему налогообложения, представляют налоговые декларации за последний финансовый год с отметкой налогового органа *;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*.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отбора,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 *.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Акт сверки принадлежности сумм денежных средств, перечисленных и (или) признаваемых в качестве единого налогового платежа, либо сумм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денежных средств, перечисленных не в качестве единого налогового платежа (форма по КНД 1160070), по форме, утвержденной приказом Федеральной налоговой службы от 21.06.2023 № ЕД-7-19/402@ «Об утверждении формы акта сверки принадлежности сумм денежных средст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платежа, и формата его представления в электронной форме», за год, предшествующий году подачи заявки **.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С</w:t>
      </w:r>
      <w:hyperlink r:id="rId23" w:tooltip="https://login.consultant.ru/link/?req=doc&amp;base=LAW&amp;n=442879&amp;dst=100050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правка-подтверждение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несчастных случаев на производстве и профессиональных заболеваний - юридического лица, а также видов экономической деятельности подра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участником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Форма расчета по страховым взносам за предшествующий календарный год, утвержденная приказом Федеральной налоговой службы от 29.09.2022 № ЕД-7-11/878@ «Об утверждении форм расчета по страховым взносам и персонифицированных сведений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физических лицах, порядков их заполнения, а также форматов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их представления в электронной форме» ***.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Таблицы экономических показателей деятельности субъектов малого и среднего предпринимательства (далее - субъекты МСП) в зависимости от применяемой системы налогообложения по форме в соответствии с приложением № 1 к настоящему перечню.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 Копии договоров купли-продажи (поставки) оборудования или счетов и актов приема-передачи оборудования или товарных накладных и (или) копия (копии) договора (договоров) лизинга.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 Копия акта приема-передачи предмета лизинга или товарной накладной на предмет лизинга (для лизинга оборудования).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 Копии платежных документов, подтверждающих затраты на приобретение оборудования и (или) уплату платежей по договору (договорам) лизинга.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 Копия документа, подтверждающего дату производства приобретенного оборудования и (или) предмета лизинга.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 Технико-экономическое обоснование приобретения и (или)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лизинга оборудования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целях создания и (или) развития, и (или) модернизации производства товаров (работ, услуг), подписанное участником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 Копии документов, подтверждающих постановку на учет приобретенного оборудования (для приобретения оборудования):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юридических лиц - акт ввода в эксплуатацию и (или) приказ о вводе в эксплуатацию, оборотная ведомость основных средств за год, в котором приобретено оборудование;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индивидуальных предпринимателей - акт ввода в эксплуатацию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(или) приказ о вводе в эксплуатацию, раздел II книги учета доходов и расходов за год, в котором приобретено оборудование;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 Копия экспортного контракта, заключенного участником отбора не ранее 1 января года, предшествующего году подачи заявки (при наличии).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 Обязательство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участника отбора для предоставления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результатам предоставления субсидии по форме в соответствии с приложением № 2 к настоящему перечню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 Заявление о соответствии вновь созданного юридического лица и вновь зарегистрированного индивидуального предпринимателя (в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отметкой в едином реестре субъектов МСП) условиям отнесения к субъектам МСП, установленным Федеральным законом от 24.07.2007 № 209-ФЗ «О разв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итии малого и среднего предпринимательства в Российской Федерации», по форме, утвержденной приказом Министерства экономического развития России от 10.03.2016 № 113 «Об утверждении формы заявления о соответствии вновь созданного юридического лица и вновь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*Министерство промышленности, торговли и развития предпринимательства Новосибирско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области (далее - Министерство) использует данные, опубликованные на государственном информационном ресурсе бухгалтерской (финансовой) отчетности https://bo.nalog.ru (далее - ГИР БО) в качестве источника информации о суммах доходов и расходов организаций.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приложить указанный документ по собственной инициативе к заявке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- ГИИС «Электронный бюджет»).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**Министерство использует данные, опубликованные на портале «Прозрачный бизнес» https://pb.nalog.ru/ (далее - портал) в качестве источника информации о суммах уплаченных налогов организаций.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отсутствия на портале на момент подачи заявки информации о суммах уплаченных налогов по участнику отбора за год, предшествующий году предоставления субсидии, участник отбора вправе приложить указанный документ </w:t>
      </w:r>
      <w:bookmarkStart w:id="16" w:name="_GoBack"/>
      <w:r>
        <w:rPr>
          <w:highlight w:val="none"/>
        </w:rPr>
      </w:r>
      <w:bookmarkEnd w:id="16"/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собственной инициативе к заявке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ГИИС «Электронный бюджет».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***Указанный документ (информация) запрашиваетс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приложить указанный документ (информацию) к заявке в ГИИС «Электронный бюджет» по собственной инициативе.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Перечню до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кументов для предоставления субсидии на возмещение части затрат субъектов малого и среднего предпринимательства, связанных с приобретением и (или) лизингом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Таблицы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экономических показателей деятельности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субъектов малого и среднего предпринимательства для предоставления субсидии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Таблица № 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Экономические показатели деятельности субъекта малого и среднего предпринимательства, применяющего общую систему налогообложения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(наименование субъекта малого и среднего предпринимательства)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749"/>
        <w:gridCol w:w="1275"/>
        <w:gridCol w:w="1276"/>
        <w:gridCol w:w="1276"/>
        <w:gridCol w:w="168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Годы, предшествующие году предоставления субсидии 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Год предоставления субсидии, показатели за год (план)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 3-й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 2-й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 1-й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Выручка,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Чистая прибыль,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**: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среднесписочного состава (численность работников без внешних совместителей)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3.2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внешних совместителей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3.3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 договорам гражданско-правового характера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Фонд начисленной заработной платы работников, тыс. рублей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Среднемесячная заработная плата, тыс. рублей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Поступление налогов в консолидированный бюджет Новосибирской области (тыс. рублей), всего, в том числе: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налог на прибыль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налог на доходы физических лиц (НДФЛ)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налог на имущество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юридического лица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(индивидуальный предприниматель) _______________ (_____________________)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Таблица № 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Экономические показатели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субъекта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применяющего упрощенную систему налогообложения,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патентную систему налогообложения,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систему налогообложения для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(наименование субъекта малого и среднего предпринимательства)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133"/>
        <w:gridCol w:w="1133"/>
        <w:gridCol w:w="1133"/>
        <w:gridCol w:w="17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Годы, предшествующие году предоставления субсидии 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Год предоставления субсидии, показатели за год (план)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за 3-й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за 2-й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показа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за 1-й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Доход, тыс. руб.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Расходы,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Чистый доход ***,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**: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среднесписочного состава (численность работников без внешних совместителей)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4.2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внешних совместителей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 договорам гражданско-правового характера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Фонд начисленной заработной платы работников, тыс. рублей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Среднемесячная заработная плата, тыс. рублей **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Поступление налогов в консолидированный бюджет Новосибирской области (тыс. рублей), всего, в том числе: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налог на доходы физических лиц (НДФЛ)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7.2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налог, уплачиваемый в связи с применением упрощенной системы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7.3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налог, уплачиваемый в связи с применением патентной системы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7.4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единый сельскохозяйственный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7.5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налог на имущество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7.6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7.7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юридического лица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(индивидуальный предприниматель) _______________ (_____________________)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*При заполнении таблиц учитываются данные по трем годам, предшествовавшим году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мер: если субсидия предоставляется в 2025 году, то предшествующие годы - 2024 (1-й год, предшествующий году предоставления субсидии), 2023 (2-й год, предшествующий году предоставления субсидии) и 2022 (3-й год, предшествующий году предоставления субсидии).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**Среднемесячная заработная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плата при предоставлении субсидии до 2025 года включительно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 922 «Об особенностях порядка исчисления средней заработной платы».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Среднемесячная заработная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плата при предоставлении субсидии начиная с 2026 года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24.04.2025 № 540 «Об особенностях порядка исчисления средней заработной платы».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17" w:name="undefined"/>
      <w:r>
        <w:rPr>
          <w:highlight w:val="none"/>
        </w:rPr>
      </w:r>
      <w:bookmarkEnd w:id="17"/>
      <w:r>
        <w:rPr>
          <w:rFonts w:ascii="Times New Roman" w:hAnsi="Times New Roman" w:cs="Times New Roman"/>
          <w:sz w:val="28"/>
          <w:szCs w:val="28"/>
          <w:highlight w:val="none"/>
        </w:rPr>
        <w:t xml:space="preserve">***Доход за вычетом суммы расходов и уплаченных налогов.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keepNext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 2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keepNext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Перечню до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кументов для предоставления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keepNext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Обязательство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участника отбора для предоставления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услуг),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результатам предоставления субсидии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предоставления субсидии организация (индивидуальный предприниматель) принимает следующие обязательства (обязательно указать количество):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226"/>
        <w:gridCol w:w="2835"/>
        <w:gridCol w:w="28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Обязательство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Год, предшествующий году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Год предоставления субсидии 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 сохранению среднесписочной численности работников по итогам года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 сравнению с годом, предшествующим году предоставления субсидии, единиц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Указывается среднесписочная численность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Указывается плановая среднесписочная численность за год предоставления субсидии, равная значению за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gridSpan w:val="4"/>
            <w:tcW w:w="96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 увеличению среднесписочной численности работников по итогам года предоставления субсидии по сравнению с годом, предшествующим году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предоставления субсидии, единиц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Указывается среднесписочная численность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 год, предшествующий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Указывается количество единиц, на которое планируется увеличить среднесписочную численность работников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итогам года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 увеличению выручки (дохода) на одного работника (учитывается только среднесписочная численность)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по итогам года предоставления субсидии по сравнению с годом, предшествующим году предоставления субсидии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%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Указывается размер выручки (дохода)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Указывается размер увеличения выручки в %, (указывается значение, кратное 5, но не менее 10)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*Указанные в данной графе значения будут включены в соглашение о предоставлении субсидии в качестве значений результатов предоставления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индивидуальных предпринимателей значение среднесписочной численности определяется с учетом индивидуального предпринимателя.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___________»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13"/>
      <w:headerReference w:type="first" r:id="rId14"/>
      <w:footerReference w:type="first" r:id="rId18"/>
      <w:footnotePr/>
      <w:endnotePr/>
      <w:type w:val="nextPage"/>
      <w:pgSz w:w="11906" w:h="16838" w:orient="portrait"/>
      <w:pgMar w:top="1134" w:right="567" w:bottom="1134" w:left="1417" w:header="709" w:footer="67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Segoe UI">
    <w:panose1 w:val="020B0502040504020204"/>
  </w:font>
  <w:font w:name="Wingdings">
    <w:panose1 w:val="05010000000000000000"/>
  </w:font>
  <w:font w:name="Courier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15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18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3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26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33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813"/>
    <w:link w:val="804"/>
    <w:uiPriority w:val="9"/>
    <w:rPr>
      <w:rFonts w:ascii="Arial" w:hAnsi="Arial" w:eastAsia="Arial" w:cs="Arial"/>
      <w:sz w:val="40"/>
      <w:szCs w:val="40"/>
    </w:rPr>
  </w:style>
  <w:style w:type="character" w:styleId="787">
    <w:name w:val="Heading 2 Char"/>
    <w:basedOn w:val="813"/>
    <w:link w:val="805"/>
    <w:uiPriority w:val="9"/>
    <w:rPr>
      <w:rFonts w:ascii="Arial" w:hAnsi="Arial" w:eastAsia="Arial" w:cs="Arial"/>
      <w:sz w:val="34"/>
    </w:rPr>
  </w:style>
  <w:style w:type="character" w:styleId="788">
    <w:name w:val="Heading 3 Char"/>
    <w:basedOn w:val="813"/>
    <w:link w:val="806"/>
    <w:uiPriority w:val="9"/>
    <w:rPr>
      <w:rFonts w:ascii="Arial" w:hAnsi="Arial" w:eastAsia="Arial" w:cs="Arial"/>
      <w:sz w:val="30"/>
      <w:szCs w:val="30"/>
    </w:rPr>
  </w:style>
  <w:style w:type="character" w:styleId="789">
    <w:name w:val="Heading 4 Char"/>
    <w:basedOn w:val="813"/>
    <w:link w:val="807"/>
    <w:uiPriority w:val="9"/>
    <w:rPr>
      <w:rFonts w:ascii="Arial" w:hAnsi="Arial" w:eastAsia="Arial" w:cs="Arial"/>
      <w:b/>
      <w:bCs/>
      <w:sz w:val="26"/>
      <w:szCs w:val="26"/>
    </w:rPr>
  </w:style>
  <w:style w:type="character" w:styleId="790">
    <w:name w:val="Heading 5 Char"/>
    <w:basedOn w:val="813"/>
    <w:link w:val="808"/>
    <w:uiPriority w:val="9"/>
    <w:rPr>
      <w:rFonts w:ascii="Arial" w:hAnsi="Arial" w:eastAsia="Arial" w:cs="Arial"/>
      <w:b/>
      <w:bCs/>
      <w:sz w:val="24"/>
      <w:szCs w:val="24"/>
    </w:rPr>
  </w:style>
  <w:style w:type="character" w:styleId="791">
    <w:name w:val="Heading 6 Char"/>
    <w:basedOn w:val="813"/>
    <w:link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792">
    <w:name w:val="Heading 7 Char"/>
    <w:basedOn w:val="813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8 Char"/>
    <w:basedOn w:val="813"/>
    <w:link w:val="811"/>
    <w:uiPriority w:val="9"/>
    <w:rPr>
      <w:rFonts w:ascii="Arial" w:hAnsi="Arial" w:eastAsia="Arial" w:cs="Arial"/>
      <w:i/>
      <w:iCs/>
      <w:sz w:val="22"/>
      <w:szCs w:val="22"/>
    </w:rPr>
  </w:style>
  <w:style w:type="character" w:styleId="794">
    <w:name w:val="Heading 9 Char"/>
    <w:basedOn w:val="813"/>
    <w:link w:val="812"/>
    <w:uiPriority w:val="9"/>
    <w:rPr>
      <w:rFonts w:ascii="Arial" w:hAnsi="Arial" w:eastAsia="Arial" w:cs="Arial"/>
      <w:i/>
      <w:iCs/>
      <w:sz w:val="21"/>
      <w:szCs w:val="21"/>
    </w:rPr>
  </w:style>
  <w:style w:type="character" w:styleId="795">
    <w:name w:val="Title Char"/>
    <w:basedOn w:val="813"/>
    <w:link w:val="825"/>
    <w:uiPriority w:val="10"/>
    <w:rPr>
      <w:sz w:val="48"/>
      <w:szCs w:val="48"/>
    </w:rPr>
  </w:style>
  <w:style w:type="character" w:styleId="796">
    <w:name w:val="Subtitle Char"/>
    <w:basedOn w:val="813"/>
    <w:link w:val="827"/>
    <w:uiPriority w:val="11"/>
    <w:rPr>
      <w:sz w:val="24"/>
      <w:szCs w:val="24"/>
    </w:rPr>
  </w:style>
  <w:style w:type="character" w:styleId="797">
    <w:name w:val="Quote Char"/>
    <w:link w:val="829"/>
    <w:uiPriority w:val="29"/>
    <w:rPr>
      <w:i/>
    </w:rPr>
  </w:style>
  <w:style w:type="character" w:styleId="798">
    <w:name w:val="Intense Quote Char"/>
    <w:link w:val="831"/>
    <w:uiPriority w:val="30"/>
    <w:rPr>
      <w:i/>
    </w:rPr>
  </w:style>
  <w:style w:type="character" w:styleId="799">
    <w:name w:val="Header Char"/>
    <w:basedOn w:val="813"/>
    <w:link w:val="833"/>
    <w:uiPriority w:val="99"/>
  </w:style>
  <w:style w:type="character" w:styleId="800">
    <w:name w:val="Caption Char"/>
    <w:basedOn w:val="837"/>
    <w:link w:val="835"/>
    <w:uiPriority w:val="99"/>
  </w:style>
  <w:style w:type="character" w:styleId="801">
    <w:name w:val="Footnote Text Char"/>
    <w:link w:val="966"/>
    <w:uiPriority w:val="99"/>
    <w:rPr>
      <w:sz w:val="18"/>
    </w:rPr>
  </w:style>
  <w:style w:type="character" w:styleId="802">
    <w:name w:val="Endnote Text Char"/>
    <w:link w:val="969"/>
    <w:uiPriority w:val="99"/>
    <w:rPr>
      <w:sz w:val="20"/>
    </w:rPr>
  </w:style>
  <w:style w:type="paragraph" w:styleId="803" w:default="1">
    <w:name w:val="Normal"/>
    <w:qFormat/>
  </w:style>
  <w:style w:type="paragraph" w:styleId="804">
    <w:name w:val="Heading 1"/>
    <w:basedOn w:val="803"/>
    <w:next w:val="803"/>
    <w:link w:val="8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next w:val="803"/>
    <w:link w:val="8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next w:val="803"/>
    <w:link w:val="8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next w:val="803"/>
    <w:link w:val="8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next w:val="803"/>
    <w:link w:val="8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next w:val="803"/>
    <w:link w:val="8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10">
    <w:name w:val="Heading 7"/>
    <w:basedOn w:val="803"/>
    <w:next w:val="803"/>
    <w:link w:val="8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11">
    <w:name w:val="Heading 8"/>
    <w:basedOn w:val="803"/>
    <w:next w:val="803"/>
    <w:link w:val="8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12">
    <w:name w:val="Heading 9"/>
    <w:basedOn w:val="803"/>
    <w:next w:val="803"/>
    <w:link w:val="8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link w:val="804"/>
    <w:uiPriority w:val="9"/>
    <w:rPr>
      <w:rFonts w:ascii="Arial" w:hAnsi="Arial" w:eastAsia="Arial" w:cs="Arial"/>
      <w:sz w:val="40"/>
      <w:szCs w:val="40"/>
    </w:rPr>
  </w:style>
  <w:style w:type="character" w:styleId="817" w:customStyle="1">
    <w:name w:val="Заголовок 2 Знак"/>
    <w:link w:val="805"/>
    <w:uiPriority w:val="9"/>
    <w:rPr>
      <w:rFonts w:ascii="Arial" w:hAnsi="Arial" w:eastAsia="Arial" w:cs="Arial"/>
      <w:sz w:val="34"/>
    </w:rPr>
  </w:style>
  <w:style w:type="character" w:styleId="818" w:customStyle="1">
    <w:name w:val="Заголовок 3 Знак"/>
    <w:link w:val="806"/>
    <w:uiPriority w:val="9"/>
    <w:rPr>
      <w:rFonts w:ascii="Arial" w:hAnsi="Arial" w:eastAsia="Arial" w:cs="Arial"/>
      <w:sz w:val="30"/>
      <w:szCs w:val="30"/>
    </w:rPr>
  </w:style>
  <w:style w:type="character" w:styleId="819" w:customStyle="1">
    <w:name w:val="Заголовок 4 Знак"/>
    <w:link w:val="807"/>
    <w:uiPriority w:val="9"/>
    <w:rPr>
      <w:rFonts w:ascii="Arial" w:hAnsi="Arial" w:eastAsia="Arial" w:cs="Arial"/>
      <w:b/>
      <w:bCs/>
      <w:sz w:val="26"/>
      <w:szCs w:val="26"/>
    </w:rPr>
  </w:style>
  <w:style w:type="character" w:styleId="820" w:customStyle="1">
    <w:name w:val="Заголовок 5 Знак"/>
    <w:link w:val="808"/>
    <w:uiPriority w:val="9"/>
    <w:rPr>
      <w:rFonts w:ascii="Arial" w:hAnsi="Arial" w:eastAsia="Arial" w:cs="Arial"/>
      <w:b/>
      <w:bCs/>
      <w:sz w:val="24"/>
      <w:szCs w:val="24"/>
    </w:rPr>
  </w:style>
  <w:style w:type="character" w:styleId="821" w:customStyle="1">
    <w:name w:val="Заголовок 6 Знак"/>
    <w:link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822" w:customStyle="1">
    <w:name w:val="Заголовок 7 Знак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3" w:customStyle="1">
    <w:name w:val="Заголовок 8 Знак"/>
    <w:link w:val="811"/>
    <w:uiPriority w:val="9"/>
    <w:rPr>
      <w:rFonts w:ascii="Arial" w:hAnsi="Arial" w:eastAsia="Arial" w:cs="Arial"/>
      <w:i/>
      <w:iCs/>
      <w:sz w:val="22"/>
      <w:szCs w:val="22"/>
    </w:rPr>
  </w:style>
  <w:style w:type="character" w:styleId="824" w:customStyle="1">
    <w:name w:val="Заголовок 9 Знак"/>
    <w:link w:val="812"/>
    <w:uiPriority w:val="9"/>
    <w:rPr>
      <w:rFonts w:ascii="Arial" w:hAnsi="Arial" w:eastAsia="Arial" w:cs="Arial"/>
      <w:i/>
      <w:iCs/>
      <w:sz w:val="21"/>
      <w:szCs w:val="21"/>
    </w:rPr>
  </w:style>
  <w:style w:type="paragraph" w:styleId="825">
    <w:name w:val="Title"/>
    <w:basedOn w:val="803"/>
    <w:next w:val="803"/>
    <w:link w:val="826"/>
    <w:uiPriority w:val="10"/>
    <w:qFormat/>
    <w:pPr>
      <w:contextualSpacing/>
      <w:spacing w:before="300"/>
    </w:pPr>
    <w:rPr>
      <w:sz w:val="48"/>
      <w:szCs w:val="48"/>
    </w:rPr>
  </w:style>
  <w:style w:type="character" w:styleId="826" w:customStyle="1">
    <w:name w:val="Заголовок Знак"/>
    <w:link w:val="825"/>
    <w:uiPriority w:val="10"/>
    <w:rPr>
      <w:sz w:val="48"/>
      <w:szCs w:val="48"/>
    </w:rPr>
  </w:style>
  <w:style w:type="paragraph" w:styleId="827">
    <w:name w:val="Subtitle"/>
    <w:basedOn w:val="803"/>
    <w:next w:val="803"/>
    <w:link w:val="828"/>
    <w:uiPriority w:val="11"/>
    <w:qFormat/>
    <w:pPr>
      <w:spacing w:before="200"/>
    </w:pPr>
    <w:rPr>
      <w:sz w:val="24"/>
      <w:szCs w:val="24"/>
    </w:rPr>
  </w:style>
  <w:style w:type="character" w:styleId="828" w:customStyle="1">
    <w:name w:val="Подзаголовок Знак"/>
    <w:link w:val="827"/>
    <w:uiPriority w:val="11"/>
    <w:rPr>
      <w:sz w:val="24"/>
      <w:szCs w:val="24"/>
    </w:rPr>
  </w:style>
  <w:style w:type="paragraph" w:styleId="829">
    <w:name w:val="Quote"/>
    <w:basedOn w:val="803"/>
    <w:next w:val="803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803"/>
    <w:next w:val="803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803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4" w:customStyle="1">
    <w:name w:val="Верхний колонтитул Знак"/>
    <w:link w:val="833"/>
    <w:uiPriority w:val="99"/>
  </w:style>
  <w:style w:type="paragraph" w:styleId="835">
    <w:name w:val="Footer"/>
    <w:basedOn w:val="803"/>
    <w:link w:val="8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 w:customStyle="1">
    <w:name w:val="Footer Char"/>
    <w:uiPriority w:val="99"/>
  </w:style>
  <w:style w:type="paragraph" w:styleId="837">
    <w:name w:val="Caption"/>
    <w:basedOn w:val="803"/>
    <w:next w:val="80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38" w:customStyle="1">
    <w:name w:val="Нижний колонтитул Знак"/>
    <w:link w:val="835"/>
    <w:uiPriority w:val="99"/>
  </w:style>
  <w:style w:type="table" w:styleId="839">
    <w:name w:val="Table Grid"/>
    <w:basedOn w:val="8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0" w:customStyle="1">
    <w:name w:val="Table Grid Light"/>
    <w:basedOn w:val="8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1">
    <w:name w:val="Plain Table 1"/>
    <w:basedOn w:val="8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basedOn w:val="8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9" w:customStyle="1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0" w:customStyle="1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1" w:customStyle="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2" w:customStyle="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73" w:customStyle="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83" w:customStyle="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4" w:customStyle="1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5" w:customStyle="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6" w:customStyle="1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7" w:customStyle="1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2" w:customStyle="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3" w:customStyle="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4" w:customStyle="1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5" w:customStyle="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6" w:customStyle="1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6" w:customStyle="1">
    <w:name w:val="Lined - Accent 2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7" w:customStyle="1">
    <w:name w:val="Lined - Accent 3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8" w:customStyle="1">
    <w:name w:val="Lined - Accent 4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9" w:customStyle="1">
    <w:name w:val="Lined - Accent 5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0" w:customStyle="1">
    <w:name w:val="Lined - Accent 6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1" w:customStyle="1">
    <w:name w:val="Bordered &amp; Lined - Accent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3" w:customStyle="1">
    <w:name w:val="Bordered &amp; Lined - Accent 2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4" w:customStyle="1">
    <w:name w:val="Bordered &amp; Lined - Accent 3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5" w:customStyle="1">
    <w:name w:val="Bordered &amp; Lined - Accent 4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6" w:customStyle="1">
    <w:name w:val="Bordered &amp; Lined - Accent 5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7" w:customStyle="1">
    <w:name w:val="Bordered &amp; Lined - Accent 6"/>
    <w:basedOn w:val="8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8" w:customStyle="1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0" w:customStyle="1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1" w:customStyle="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2" w:customStyle="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3" w:customStyle="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64" w:customStyle="1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563c1" w:themeColor="hyperlink"/>
      <w:u w:val="single"/>
    </w:rPr>
  </w:style>
  <w:style w:type="paragraph" w:styleId="966">
    <w:name w:val="footnote text"/>
    <w:basedOn w:val="803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uiPriority w:val="99"/>
    <w:unhideWhenUsed/>
    <w:rPr>
      <w:vertAlign w:val="superscript"/>
    </w:rPr>
  </w:style>
  <w:style w:type="paragraph" w:styleId="969">
    <w:name w:val="endnote text"/>
    <w:basedOn w:val="803"/>
    <w:link w:val="970"/>
    <w:uiPriority w:val="99"/>
    <w:semiHidden/>
    <w:unhideWhenUsed/>
    <w:pPr>
      <w:spacing w:after="0" w:line="240" w:lineRule="auto"/>
    </w:pPr>
    <w:rPr>
      <w:sz w:val="20"/>
    </w:rPr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uiPriority w:val="99"/>
    <w:semiHidden/>
    <w:unhideWhenUsed/>
    <w:rPr>
      <w:vertAlign w:val="superscript"/>
    </w:rPr>
  </w:style>
  <w:style w:type="paragraph" w:styleId="972">
    <w:name w:val="toc 1"/>
    <w:basedOn w:val="803"/>
    <w:next w:val="803"/>
    <w:uiPriority w:val="39"/>
    <w:unhideWhenUsed/>
    <w:pPr>
      <w:spacing w:after="57"/>
    </w:pPr>
  </w:style>
  <w:style w:type="paragraph" w:styleId="973">
    <w:name w:val="toc 2"/>
    <w:basedOn w:val="803"/>
    <w:next w:val="803"/>
    <w:uiPriority w:val="39"/>
    <w:unhideWhenUsed/>
    <w:pPr>
      <w:ind w:left="283"/>
      <w:spacing w:after="57"/>
    </w:pPr>
  </w:style>
  <w:style w:type="paragraph" w:styleId="974">
    <w:name w:val="toc 3"/>
    <w:basedOn w:val="803"/>
    <w:next w:val="803"/>
    <w:uiPriority w:val="39"/>
    <w:unhideWhenUsed/>
    <w:pPr>
      <w:ind w:left="567"/>
      <w:spacing w:after="57"/>
    </w:pPr>
  </w:style>
  <w:style w:type="paragraph" w:styleId="975">
    <w:name w:val="toc 4"/>
    <w:basedOn w:val="803"/>
    <w:next w:val="803"/>
    <w:uiPriority w:val="39"/>
    <w:unhideWhenUsed/>
    <w:pPr>
      <w:ind w:left="850"/>
      <w:spacing w:after="57"/>
    </w:pPr>
  </w:style>
  <w:style w:type="paragraph" w:styleId="976">
    <w:name w:val="toc 5"/>
    <w:basedOn w:val="803"/>
    <w:next w:val="803"/>
    <w:uiPriority w:val="39"/>
    <w:unhideWhenUsed/>
    <w:pPr>
      <w:ind w:left="1134"/>
      <w:spacing w:after="57"/>
    </w:pPr>
  </w:style>
  <w:style w:type="paragraph" w:styleId="977">
    <w:name w:val="toc 6"/>
    <w:basedOn w:val="803"/>
    <w:next w:val="803"/>
    <w:uiPriority w:val="39"/>
    <w:unhideWhenUsed/>
    <w:pPr>
      <w:ind w:left="1417"/>
      <w:spacing w:after="57"/>
    </w:pPr>
  </w:style>
  <w:style w:type="paragraph" w:styleId="978">
    <w:name w:val="toc 7"/>
    <w:basedOn w:val="803"/>
    <w:next w:val="803"/>
    <w:uiPriority w:val="39"/>
    <w:unhideWhenUsed/>
    <w:pPr>
      <w:ind w:left="1701"/>
      <w:spacing w:after="57"/>
    </w:pPr>
  </w:style>
  <w:style w:type="paragraph" w:styleId="979">
    <w:name w:val="toc 8"/>
    <w:basedOn w:val="803"/>
    <w:next w:val="803"/>
    <w:uiPriority w:val="39"/>
    <w:unhideWhenUsed/>
    <w:pPr>
      <w:ind w:left="1984"/>
      <w:spacing w:after="57"/>
    </w:pPr>
  </w:style>
  <w:style w:type="paragraph" w:styleId="980">
    <w:name w:val="toc 9"/>
    <w:basedOn w:val="803"/>
    <w:next w:val="803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803"/>
    <w:next w:val="803"/>
    <w:uiPriority w:val="99"/>
    <w:unhideWhenUsed/>
    <w:pPr>
      <w:spacing w:after="0"/>
    </w:pPr>
  </w:style>
  <w:style w:type="paragraph" w:styleId="983">
    <w:name w:val="No Spacing"/>
    <w:basedOn w:val="803"/>
    <w:uiPriority w:val="1"/>
    <w:qFormat/>
    <w:pPr>
      <w:spacing w:after="0" w:line="240" w:lineRule="auto"/>
    </w:pPr>
  </w:style>
  <w:style w:type="paragraph" w:styleId="984">
    <w:name w:val="List Paragraph"/>
    <w:basedOn w:val="803"/>
    <w:uiPriority w:val="34"/>
    <w:qFormat/>
    <w:pPr>
      <w:contextualSpacing/>
      <w:ind w:left="720"/>
    </w:pPr>
  </w:style>
  <w:style w:type="paragraph" w:styleId="985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  <w:style w:type="paragraph" w:styleId="986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New" w:hAnsi="CourierNew" w:eastAsia="CourierNew" w:cs="CourierNew"/>
      <w:sz w:val="20"/>
      <w:szCs w:val="20"/>
      <w:lang w:val="en-US" w:eastAsia="zh-CN"/>
    </w:rPr>
  </w:style>
  <w:style w:type="paragraph" w:styleId="987">
    <w:name w:val="annotation text"/>
    <w:basedOn w:val="803"/>
    <w:link w:val="9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88" w:customStyle="1">
    <w:name w:val="Текст примечания Знак"/>
    <w:basedOn w:val="813"/>
    <w:link w:val="987"/>
    <w:uiPriority w:val="99"/>
    <w:semiHidden/>
    <w:rPr>
      <w:sz w:val="20"/>
      <w:szCs w:val="20"/>
    </w:rPr>
  </w:style>
  <w:style w:type="character" w:styleId="989">
    <w:name w:val="annotation reference"/>
    <w:basedOn w:val="813"/>
    <w:uiPriority w:val="99"/>
    <w:semiHidden/>
    <w:unhideWhenUsed/>
    <w:rPr>
      <w:sz w:val="16"/>
      <w:szCs w:val="16"/>
    </w:rPr>
  </w:style>
  <w:style w:type="paragraph" w:styleId="990">
    <w:name w:val="Balloon Text"/>
    <w:basedOn w:val="803"/>
    <w:link w:val="9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91" w:customStyle="1">
    <w:name w:val="Текст выноски Знак"/>
    <w:basedOn w:val="813"/>
    <w:link w:val="990"/>
    <w:uiPriority w:val="99"/>
    <w:semiHidden/>
    <w:rPr>
      <w:rFonts w:ascii="Segoe UI" w:hAnsi="Segoe UI" w:cs="Segoe UI"/>
      <w:sz w:val="18"/>
      <w:szCs w:val="18"/>
    </w:rPr>
  </w:style>
  <w:style w:type="paragraph" w:styleId="992">
    <w:name w:val="annotation subject"/>
    <w:basedOn w:val="987"/>
    <w:next w:val="987"/>
    <w:link w:val="993"/>
    <w:uiPriority w:val="99"/>
    <w:semiHidden/>
    <w:unhideWhenUsed/>
    <w:rPr>
      <w:b/>
      <w:bCs/>
    </w:rPr>
  </w:style>
  <w:style w:type="character" w:styleId="993" w:customStyle="1">
    <w:name w:val="Тема примечания Знак"/>
    <w:basedOn w:val="988"/>
    <w:link w:val="99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image" Target="media/image1.png"/><Relationship Id="rId20" Type="http://schemas.openxmlformats.org/officeDocument/2006/relationships/image" Target="media/media1.svg"/><Relationship Id="rId21" Type="http://schemas.openxmlformats.org/officeDocument/2006/relationships/hyperlink" Target="https://login.consultant.ru/link/?req=doc&amp;base=LAW&amp;n=462157&amp;dst=105016" TargetMode="External"/><Relationship Id="rId22" Type="http://schemas.openxmlformats.org/officeDocument/2006/relationships/hyperlink" Target="https://login.consultant.ru/link/?req=doc&amp;base=LAW&amp;n=462157&amp;dst=105027" TargetMode="External"/><Relationship Id="rId23" Type="http://schemas.openxmlformats.org/officeDocument/2006/relationships/hyperlink" Target="https://login.consultant.ru/link/?req=doc&amp;base=LAW&amp;n=442879&amp;dst=1000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2025-04-28T02:58:00Z</dcterms:created>
  <dcterms:modified xsi:type="dcterms:W3CDTF">2025-06-10T04:46:00Z</dcterms:modified>
</cp:coreProperties>
</file>