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firstLine="0"/>
        <w:jc w:val="center"/>
        <w:widowControl/>
        <w:rPr>
          <w:b/>
          <w:bCs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1810" cy="609600"/>
                <wp:effectExtent l="0" t="0" r="0" b="0"/>
                <wp:docPr id="1" name="Рисунок 2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5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181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30pt;height:48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</w:rPr>
      </w:r>
    </w:p>
    <w:p>
      <w:pPr>
        <w:pStyle w:val="617"/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17"/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b/>
          <w:bCs/>
        </w:rPr>
      </w:r>
    </w:p>
    <w:p>
      <w:pPr>
        <w:pStyle w:val="617"/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(Минпромторг НСО)</w:t>
      </w:r>
      <w:r>
        <w:rPr>
          <w:b/>
          <w:bCs/>
        </w:rPr>
      </w:r>
    </w:p>
    <w:p>
      <w:pPr>
        <w:pStyle w:val="617"/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17"/>
        <w:ind w:firstLine="0"/>
        <w:jc w:val="center"/>
        <w:widowControl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 </w:t>
      </w:r>
      <w:r>
        <w:rPr>
          <w:bCs/>
          <w:sz w:val="36"/>
          <w:szCs w:val="36"/>
        </w:rPr>
      </w:r>
    </w:p>
    <w:p>
      <w:pPr>
        <w:pStyle w:val="617"/>
        <w:ind w:firstLine="0"/>
        <w:jc w:val="left"/>
        <w:widowControl/>
      </w:pPr>
      <w:r>
        <w:t xml:space="preserve">  </w:t>
      </w:r>
      <w:r>
        <w:t xml:space="preserve">__.__.2025                                                                                                      № __-НПА</w:t>
      </w:r>
      <w:r/>
    </w:p>
    <w:p>
      <w:pPr>
        <w:pStyle w:val="617"/>
        <w:ind w:firstLine="0"/>
        <w:jc w:val="center"/>
        <w:widowControl/>
      </w:pPr>
      <w:r>
        <w:t xml:space="preserve">г. Новосибирск</w:t>
      </w:r>
      <w:r/>
    </w:p>
    <w:p>
      <w:pPr>
        <w:pStyle w:val="617"/>
        <w:ind w:firstLine="0"/>
        <w:jc w:val="center"/>
        <w:widowControl/>
      </w:pPr>
      <w:r/>
      <w:r/>
    </w:p>
    <w:p>
      <w:pPr>
        <w:pStyle w:val="617"/>
        <w:ind w:firstLine="0"/>
        <w:jc w:val="center"/>
      </w:pPr>
      <w:r>
        <w:t xml:space="preserve">О внесении изменений в приказ министерства промышленности, торговли и развития предпринимательства Новосибирской области от 14.02.2024 № 51-НПА</w:t>
      </w:r>
      <w:r/>
    </w:p>
    <w:p>
      <w:pPr>
        <w:pStyle w:val="617"/>
        <w:ind w:firstLine="0"/>
        <w:jc w:val="center"/>
      </w:pPr>
      <w:r/>
      <w:r/>
    </w:p>
    <w:p>
      <w:pPr>
        <w:pStyle w:val="617"/>
        <w:widowControl/>
        <w:rPr>
          <w:b/>
          <w:bCs/>
          <w:highlight w:val="none"/>
        </w:rPr>
      </w:pPr>
      <w:r>
        <w:rPr>
          <w:b/>
          <w:bCs/>
        </w:rPr>
        <w:t xml:space="preserve">П р и к а з ы ва ю:</w:t>
      </w:r>
      <w:r>
        <w:rPr>
          <w:b/>
          <w:bCs/>
          <w:highlight w:val="none"/>
        </w:rPr>
      </w:r>
    </w:p>
    <w:p>
      <w:pPr>
        <w:pStyle w:val="617"/>
        <w:widowControl/>
      </w:pPr>
      <w:r>
        <w:t xml:space="preserve">Внести в приказ министерства промышленности, торговли и развития предпринимательства Новосибирской области от 14.02.2024 № 51-НПА «Об утверждении сведений о порядке сбора информации и методике расчета показателей,</w:t>
      </w:r>
      <w:r>
        <w:t xml:space="preserve"> включенных в паспорт государственной программы Новосибирской области «Развитие субъектов малого и среднего предпринимательства в Новосибирской области» и ее структурных элементов» следующие изменения: </w:t>
        <w:tab/>
      </w:r>
      <w:r/>
    </w:p>
    <w:p>
      <w:pPr>
        <w:widowControl/>
      </w:pPr>
      <w:r>
        <w:t xml:space="preserve">Сведения о порядке сбора информации и методике расчет</w:t>
      </w:r>
      <w:r>
        <w:t xml:space="preserve">а показателей, включенных в паспорт государственной программы Новосибирской области «Развитие субъектов малого и среднего предпринимательства в Новосибирской области» и ее структурных элементов, изложить в редакции согласно приложению к настоящему приказу.</w:t>
      </w:r>
      <w:r/>
      <w:r/>
    </w:p>
    <w:p>
      <w:pPr>
        <w:pStyle w:val="617"/>
        <w:widowControl/>
        <w:rPr>
          <w:highlight w:val="none"/>
        </w:rPr>
      </w:pPr>
      <w:r/>
      <w:r>
        <w:rPr>
          <w:highlight w:val="none"/>
        </w:rPr>
      </w:r>
    </w:p>
    <w:p>
      <w:pPr>
        <w:pStyle w:val="617"/>
        <w:widowControl/>
      </w:pPr>
      <w:r/>
      <w:r/>
    </w:p>
    <w:p>
      <w:pPr>
        <w:pStyle w:val="617"/>
        <w:ind w:firstLine="0"/>
        <w:widowControl/>
      </w:pPr>
      <w:r>
        <w:t xml:space="preserve">Министр                                                                                                    А.А. Гончаров                                                                                                  </w:t>
      </w:r>
      <w:r/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  <w:t xml:space="preserve">В.А. Васильева </w:t>
      </w:r>
      <w:r>
        <w:rPr>
          <w:sz w:val="20"/>
          <w:szCs w:val="20"/>
        </w:rPr>
      </w:r>
    </w:p>
    <w:p>
      <w:pPr>
        <w:pStyle w:val="617"/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  <w:t xml:space="preserve">238 62 05</w:t>
      </w:r>
      <w:r>
        <w:rPr>
          <w:sz w:val="20"/>
          <w:szCs w:val="20"/>
        </w:rPr>
      </w:r>
    </w:p>
    <w:p>
      <w:pPr>
        <w:sectPr>
          <w:footnotePr/>
          <w:endnotePr/>
          <w:type w:val="nextPage"/>
          <w:pgSz w:w="11906" w:h="16838" w:orient="portrait"/>
          <w:pgMar w:top="1135" w:right="567" w:bottom="709" w:left="1418" w:header="0" w:footer="0" w:gutter="0"/>
          <w:cols w:num="1" w:sep="0" w:space="1701" w:equalWidth="1"/>
          <w:docGrid w:linePitch="360"/>
        </w:sectPr>
      </w:pPr>
      <w:r/>
      <w:r/>
    </w:p>
    <w:p>
      <w:pPr>
        <w:pStyle w:val="617"/>
        <w:ind w:left="11055" w:right="0" w:firstLine="0"/>
        <w:jc w:val="left"/>
      </w:pPr>
      <w:r>
        <w:t xml:space="preserve">ПРИЛОЖЕНИЕ</w:t>
      </w:r>
      <w:r/>
    </w:p>
    <w:p>
      <w:pPr>
        <w:pStyle w:val="617"/>
        <w:ind w:left="11055" w:right="0" w:firstLine="0"/>
        <w:jc w:val="left"/>
      </w:pPr>
      <w:r>
        <w:t xml:space="preserve">к приказу министерства промышленности, торговли</w:t>
      </w:r>
      <w:r/>
    </w:p>
    <w:p>
      <w:pPr>
        <w:pStyle w:val="617"/>
        <w:ind w:left="11055" w:right="0" w:firstLine="0"/>
        <w:jc w:val="left"/>
      </w:pPr>
      <w:r>
        <w:t xml:space="preserve">и развития предпринимательства</w:t>
      </w:r>
      <w:r/>
    </w:p>
    <w:p>
      <w:pPr>
        <w:pStyle w:val="617"/>
        <w:ind w:left="11055" w:right="0" w:firstLine="0"/>
        <w:jc w:val="left"/>
      </w:pPr>
      <w:r>
        <w:t xml:space="preserve">Новосибирской области</w:t>
      </w:r>
      <w:r/>
    </w:p>
    <w:p>
      <w:pPr>
        <w:pStyle w:val="617"/>
        <w:ind w:left="11055" w:right="0" w:firstLine="0"/>
        <w:jc w:val="left"/>
      </w:pPr>
      <w:r>
        <w:t xml:space="preserve">от __.__.2025 № ___-НПА</w:t>
      </w:r>
      <w:r/>
    </w:p>
    <w:p>
      <w:pPr>
        <w:pStyle w:val="617"/>
        <w:ind w:left="11055" w:right="0" w:firstLine="0"/>
        <w:jc w:val="left"/>
      </w:pPr>
      <w:r/>
      <w:r/>
    </w:p>
    <w:p>
      <w:pPr>
        <w:pStyle w:val="617"/>
        <w:ind w:left="11055" w:right="0" w:firstLine="0"/>
        <w:jc w:val="left"/>
      </w:pPr>
      <w:r>
        <w:t xml:space="preserve">«УТВЕРЖДЕНЫ</w:t>
      </w:r>
      <w:r/>
    </w:p>
    <w:p>
      <w:pPr>
        <w:pStyle w:val="617"/>
        <w:ind w:left="11055" w:right="0" w:firstLine="0"/>
        <w:jc w:val="left"/>
      </w:pPr>
      <w:r>
        <w:t xml:space="preserve">приказом министерства промышленности, торговли</w:t>
      </w:r>
      <w:r/>
    </w:p>
    <w:p>
      <w:pPr>
        <w:pStyle w:val="617"/>
        <w:ind w:left="11055" w:right="0" w:firstLine="0"/>
        <w:jc w:val="left"/>
      </w:pPr>
      <w:r>
        <w:t xml:space="preserve">и развития предпринимательства</w:t>
      </w:r>
      <w:r/>
    </w:p>
    <w:p>
      <w:pPr>
        <w:pStyle w:val="617"/>
        <w:ind w:left="11055" w:right="0" w:firstLine="0"/>
        <w:jc w:val="left"/>
      </w:pPr>
      <w:r>
        <w:t xml:space="preserve">Новосибирской области</w:t>
      </w:r>
      <w:r/>
    </w:p>
    <w:p>
      <w:pPr>
        <w:pStyle w:val="617"/>
        <w:ind w:left="11055" w:right="0" w:firstLine="0"/>
        <w:jc w:val="left"/>
      </w:pPr>
      <w:r>
        <w:t xml:space="preserve">от 14.02.2024 № 51-НПА</w:t>
      </w:r>
      <w:r/>
    </w:p>
    <w:p>
      <w:pPr>
        <w:pStyle w:val="617"/>
        <w:ind w:left="11197" w:right="0" w:firstLine="0"/>
        <w:jc w:val="left"/>
        <w:rPr>
          <w:highlight w:val="none"/>
        </w:rPr>
      </w:pPr>
      <w:r/>
      <w:r>
        <w:rPr>
          <w:highlight w:val="none"/>
        </w:rPr>
      </w:r>
    </w:p>
    <w:p>
      <w:pPr>
        <w:pStyle w:val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7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ПОРЯДКЕ СБОРА ИНФОРМАЦИИ И МЕТОДИКЕ РАСЧЕТА ПОКАЗАТЕЛЕЙ ВКЛЮЧЕННЫХ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7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ПАСПОРТ ГОСУДАРСТВЕННОЙ ПРОГРАММЫ НОВОСИБИРСКОЙ ОБЛАСТИ «РАЗВИТИЕ СУБЪЕКТОВ МАЛОГО И СРЕДНЕГО ПРЕДПРИНИМАТЕЛЬСТВА В НОВОСИБИРСКОЙ ОБЛАСТИ»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07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ЕЕ СТРУКТУРНЫХ ЭЛЕМЕНТОВ </w:t>
      </w:r>
      <w:r/>
      <w:r/>
    </w:p>
    <w:p>
      <w:pPr>
        <w:pStyle w:val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13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2"/>
        <w:gridCol w:w="1842"/>
        <w:gridCol w:w="2154"/>
        <w:gridCol w:w="5390"/>
        <w:gridCol w:w="2944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15"/>
              <w:jc w:val="center"/>
              <w:widowControl w:val="off"/>
              <w:tabs>
                <w:tab w:val="clear" w:pos="708" w:leader="none"/>
                <w:tab w:val="left" w:pos="4111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Наименование показателя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Периодичность сбора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Вид временной </w:t>
            </w:r>
            <w:r>
              <w:rPr>
                <w:spacing w:val="-12"/>
                <w:szCs w:val="24"/>
              </w:rPr>
              <w:t xml:space="preserve">характеристики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0" w:type="dxa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Методика расчета </w:t>
            </w:r>
            <w:r>
              <w:rPr>
                <w:szCs w:val="24"/>
              </w:rPr>
            </w:r>
          </w:p>
          <w:p>
            <w:pPr>
              <w:pStyle w:val="715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(плановых и фактических значений)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4" w:type="dxa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Источник получения данных</w:t>
            </w:r>
            <w:r>
              <w:rPr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0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4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2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 государственной программы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07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Реальный рост дохода на одного работника субъекта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накопительный итог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0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Фактические значения</w:t>
            </w:r>
            <w:r>
              <w:rPr>
                <w:sz w:val="24"/>
                <w:szCs w:val="24"/>
              </w:rPr>
              <w:t xml:space="preserve"> определяются в соответствии с приказом Министерства экономического развития Российской Федерации от 05.11.2024 № 697 «Об утверждении методики расчета показателя «</w:t>
            </w:r>
            <w:r>
              <w:rPr>
                <w:rFonts w:cs="Times New Roman"/>
                <w:sz w:val="24"/>
                <w:szCs w:val="24"/>
              </w:rPr>
              <w:t xml:space="preserve">Реальный рост дохода на одного работника субъекта малого и среднего предпринимательства» </w:t>
            </w:r>
            <w:r>
              <w:rPr>
                <w:sz w:val="24"/>
                <w:szCs w:val="24"/>
              </w:rPr>
              <w:t xml:space="preserve">национального проекта «Эффективная и конкурентная экономика».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Плановые значения: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Достижение значений показателя осуществляется в том числе за счет мер, реализу</w:t>
            </w:r>
            <w:r>
              <w:rPr>
                <w:sz w:val="24"/>
                <w:szCs w:val="24"/>
              </w:rPr>
              <w:t xml:space="preserve">емых в рамках регионального проекта Новосибирской области «Малое и среднее  предпринимательство и поддержка индивидуальной предпринимательской инициативы» и ведомственного проекта «Государственная поддержка субъектов малого и среднего предпринимательства».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4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Источником информации для расчета показателя является информация, публикуемая в информационно-телекоммуникационной сети «Интернет» на  официальном сайте Росстата: https: //rosstat.gov.ru в разделе: Официальная статистика/Цены, инфляция/Потребительские цен</w:t>
            </w:r>
            <w:r>
              <w:rPr>
                <w:sz w:val="24"/>
                <w:szCs w:val="24"/>
              </w:rPr>
              <w:t xml:space="preserve">ы/Индексы потребительских цен на товары и услуги/WEB (ЕМИСС)/ показатель https://fedstat.ru/indicator/31074 (Виды показателя - «Период                с начала года к соответствующему периоду предыдущего года»; Виды товаров и услуг - «Все товары и услуги»).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2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color w:val="000000"/>
                <w:highlight w:val="non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Региональный проект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Новосибирской области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«Малое и среднее предпринимательство и поддержка индивидуальной предпринимательской инициативы»</w:t>
            </w:r>
            <w:r>
              <w:rPr>
                <w:color w:val="000000"/>
                <w:highlight w:val="none"/>
                <w:shd w:val="clear" w:color="auto" w:fill="ffffff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color w:val="000000"/>
                <w:highlight w:val="none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2. Доля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субъектов МСП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превысивших предельные значения для определения категорий субъектов МСП (микро-, малые, средние)</w:t>
            </w:r>
            <w:r>
              <w:rPr>
                <w:color w:val="000000"/>
                <w:highlight w:val="none"/>
                <w:shd w:val="clear" w:color="auto" w:fill="ffffff"/>
              </w:rPr>
            </w:r>
          </w:p>
          <w:p>
            <w:pPr>
              <w:pStyle w:val="707"/>
              <w:ind w:firstLine="0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color w:val="000000"/>
                <w:highlight w:val="none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ежегодная</w:t>
            </w:r>
            <w:r>
              <w:rPr>
                <w:color w:val="000000"/>
                <w:highlight w:val="non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color w:val="000000"/>
                <w:highlight w:val="none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накопительный итог</w:t>
            </w:r>
            <w:r>
              <w:rPr>
                <w:color w:val="000000"/>
                <w:highlight w:val="non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0" w:type="dxa"/>
            <w:textDirection w:val="lrTb"/>
            <w:noWrap w:val="false"/>
          </w:tcPr>
          <w:p>
            <w:pPr>
              <w:pStyle w:val="617"/>
              <w:ind w:left="0" w:right="0" w:firstLine="0"/>
              <w:jc w:val="both"/>
              <w:spacing w:before="159" w:after="0" w:line="57" w:lineRule="atLeast"/>
              <w:widowControl w:val="off"/>
              <w:rPr>
                <w:color w:val="000000"/>
                <w:highlight w:val="none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Фактические значения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определяются в соответствии с приказом Министерства экономического развития Российской Федерации от 31.10.2024 № 688 «Об утверждении методики расчета показателя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расчета показателя «Доля субъектов МСП, превысивших предельн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ые значения для определения категорий субъектов МСП (микро-, малые, средние)» федерального проекта «Малое и среднее предпринимательство и поддержка индивидуальной предпринимательской инициативы» национального проекта «Эффективная и конкурентная экономика».</w:t>
            </w:r>
            <w:r>
              <w:rPr>
                <w:color w:val="000000"/>
                <w:highlight w:val="none"/>
                <w:shd w:val="clear" w:color="auto" w:fill="ffffff"/>
              </w:rPr>
            </w:r>
          </w:p>
          <w:p>
            <w:pPr>
              <w:pStyle w:val="617"/>
              <w:ind w:firstLine="0"/>
              <w:widowControl w:val="off"/>
              <w:rPr>
                <w:b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b/>
                <w:color w:val="000000"/>
                <w:sz w:val="24"/>
                <w:szCs w:val="24"/>
                <w:highlight w:val="none"/>
                <w:shd w:val="clear" w:color="auto" w:fill="ffffff"/>
              </w:rPr>
            </w:r>
          </w:p>
          <w:p>
            <w:pPr>
              <w:pStyle w:val="617"/>
              <w:ind w:firstLine="0"/>
              <w:widowControl w:val="off"/>
              <w:rPr>
                <w:color w:val="000000"/>
                <w:highlight w:val="none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Плановые значения:</w:t>
            </w:r>
            <w:r>
              <w:rPr>
                <w:color w:val="000000"/>
                <w:highlight w:val="none"/>
                <w:shd w:val="clear" w:color="auto" w:fill="ffffff"/>
              </w:rPr>
            </w:r>
          </w:p>
          <w:p>
            <w:pPr>
              <w:pStyle w:val="617"/>
              <w:ind w:firstLine="0"/>
              <w:widowControl w:val="off"/>
              <w:rPr>
                <w:color w:val="000000"/>
                <w:highlight w:val="none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Достижение значений показателя осуществляется в том числе за счет мер, реализуемых в рамках регионального проекта Новосибирской области «Малое и среднее  предпринимательство и поддержка индивидуальной предпринимательской инициативы».</w:t>
            </w:r>
            <w:r>
              <w:rPr>
                <w:color w:val="000000"/>
                <w:highlight w:val="none"/>
                <w:shd w:val="clear" w:color="auto" w:fill="ffffff"/>
              </w:rPr>
            </w:r>
          </w:p>
          <w:p>
            <w:pPr>
              <w:pStyle w:val="617"/>
              <w:ind w:firstLine="0"/>
              <w:widowControl w:val="off"/>
              <w:rPr>
                <w:b/>
                <w:bCs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4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color w:val="000000"/>
                <w:highlight w:val="none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Источником информации для расчета показателя является информация, публикуемая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 сервисе «Единый реестр субъектов МСП - получателей поддержки» в информационно-телекоммуникационной сети «Интернет» на сайте ФНС России, ведение которого осуществляется ФНС России в соответствии с приказом ФНС России от 30 ноября 2021 г. № ЕД-7-14/1021@.</w:t>
            </w:r>
            <w:r>
              <w:rPr>
                <w:color w:val="000000"/>
                <w:highlight w:val="none"/>
                <w:shd w:val="clear" w:color="auto" w:fill="ffffff"/>
              </w:rPr>
            </w:r>
          </w:p>
          <w:p>
            <w:pPr>
              <w:pStyle w:val="617"/>
              <w:ind w:firstLine="0"/>
              <w:widowControl w:val="off"/>
              <w:rPr>
                <w:color w:val="000000"/>
                <w:sz w:val="24"/>
                <w:szCs w:val="24"/>
                <w:highlight w:val="none"/>
                <w:shd w:val="clear" w:color="auto" w:fill="ffffff"/>
                <w14:ligatures w14:val="non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14:ligatures w14:val="none"/>
              </w:rPr>
            </w:r>
            <w:r>
              <w:rPr>
                <w:color w:val="000000"/>
                <w:sz w:val="24"/>
                <w:szCs w:val="24"/>
                <w:highlight w:val="none"/>
                <w:shd w:val="clear" w:color="auto" w:fill="ffffff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Количество оказанных услуг и мер поддержки субъектам МСП и гражданам, желающим вести бизнес</w:t>
            </w:r>
            <w:r>
              <w:rPr>
                <w:sz w:val="24"/>
                <w:szCs w:val="24"/>
              </w:rPr>
            </w:r>
          </w:p>
          <w:p>
            <w:pPr>
              <w:pStyle w:val="707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накопительный итог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0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Фактические значения</w:t>
            </w:r>
            <w:r>
              <w:rPr>
                <w:sz w:val="24"/>
                <w:szCs w:val="24"/>
              </w:rPr>
              <w:t xml:space="preserve"> определяются к</w:t>
            </w:r>
            <w:r>
              <w:rPr>
                <w:b w:val="0"/>
                <w:bCs w:val="0"/>
                <w:sz w:val="24"/>
                <w:szCs w:val="24"/>
              </w:rPr>
              <w:t xml:space="preserve">ак сумма значений: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 количество услуг, предоставленных субъектам М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СП и </w:t>
            </w:r>
            <w:r>
              <w:rPr>
                <w:color w:val="000000"/>
                <w:sz w:val="24"/>
                <w:szCs w:val="24"/>
              </w:rPr>
              <w:t xml:space="preserve"> гражданам, желающим вести бизнес, </w:t>
            </w:r>
            <w:r>
              <w:rPr>
                <w:color w:val="000000"/>
                <w:sz w:val="24"/>
                <w:szCs w:val="24"/>
              </w:rPr>
              <w:t xml:space="preserve">организациями</w:t>
            </w:r>
            <w:r>
              <w:rPr>
                <w:color w:val="000000"/>
                <w:sz w:val="24"/>
                <w:szCs w:val="24"/>
              </w:rPr>
              <w:t xml:space="preserve"> инфраструктуры поддержки </w:t>
            </w:r>
            <w:r>
              <w:rPr>
                <w:color w:val="000000"/>
                <w:sz w:val="24"/>
                <w:szCs w:val="24"/>
              </w:rPr>
              <w:t xml:space="preserve">субъектов</w:t>
            </w:r>
            <w:r>
              <w:rPr>
                <w:color w:val="000000"/>
                <w:sz w:val="24"/>
                <w:szCs w:val="24"/>
              </w:rPr>
              <w:t xml:space="preserve"> МСП, на бесплатной и частично платной основе;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17"/>
              <w:ind w:firstLine="0"/>
              <w:widowControl w:val="off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 количество мероприятий (обучающих мероприятий, конференций, форумов, конкурсов, и других мероприятий, направленных на развитие предпринимательской деятельности), организованных А</w:t>
            </w:r>
            <w:r>
              <w:rPr>
                <w:color w:val="000000"/>
                <w:sz w:val="24"/>
                <w:szCs w:val="24"/>
              </w:rPr>
              <w:t xml:space="preserve">НО «ЦСРП НСО». </w:t>
            </w:r>
            <w:r>
              <w:rPr>
                <w:color w:val="000000"/>
              </w:rPr>
            </w:r>
          </w:p>
          <w:p>
            <w:pPr>
              <w:pStyle w:val="617"/>
              <w:ind w:firstLine="0"/>
              <w:widowControl w:val="o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Плановые значения:</w:t>
            </w:r>
            <w:r>
              <w:rPr>
                <w:color w:val="000000"/>
              </w:rPr>
            </w:r>
          </w:p>
          <w:p>
            <w:pPr>
              <w:pStyle w:val="617"/>
              <w:ind w:firstLine="0"/>
              <w:widowControl w:val="off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Достижение значений показателя осуществ</w:t>
            </w:r>
            <w:r>
              <w:rPr>
                <w:sz w:val="24"/>
                <w:szCs w:val="24"/>
              </w:rPr>
              <w:t xml:space="preserve">ляется за счет мер, реализуемых в рамках регионального проекта Новосибирской области «Малое и среднее  предпринимательство и поддержка индивидуальной предпринимательской инициативы».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4" w:type="dxa"/>
            <w:textDirection w:val="lrTb"/>
            <w:noWrap w:val="false"/>
          </w:tcPr>
          <w:p>
            <w:pPr>
              <w:pStyle w:val="617"/>
              <w:ind w:left="0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 количестве оказанных услуг получателям поддержки формируются на основе отчетов, предоставляемых в Минпромторг НСО АНО «ЦСРП НСО».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07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Субъектам МСП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накопительный итог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0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Фактические значения </w:t>
            </w:r>
            <w:r>
              <w:rPr>
                <w:b w:val="0"/>
                <w:bCs w:val="0"/>
                <w:sz w:val="24"/>
                <w:szCs w:val="24"/>
              </w:rPr>
              <w:t xml:space="preserve">рассчитываются как:</w:t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уникальных субъектов МСП и  граждан, желающих вести бизнес, воспользовавшихся услугами и мерами поддержки </w:t>
            </w:r>
            <w:r>
              <w:rPr>
                <w:rFonts w:cs="Times New Roman"/>
                <w:sz w:val="24"/>
                <w:szCs w:val="24"/>
              </w:rPr>
              <w:t xml:space="preserve">организаций инфраструктуры поддержки малого и среднего предпринимательства</w:t>
            </w:r>
            <w:r>
              <w:rPr>
                <w:sz w:val="24"/>
                <w:szCs w:val="24"/>
              </w:rPr>
              <w:t xml:space="preserve">, а также принявших участие в мероприятиях, организованных АНО «ЦСРП НСО». 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Плановые значения:</w:t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плановые значения определены на основании анализа итогов реализации аналогичных мероприятий за предшествующий период с учетом запланированного объема финансирования соответствующих мероприятий государственной программы.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Достижение значений показателя осуществляется за счет мер, реализуемых в рамках реализации </w:t>
            </w:r>
            <w:r>
              <w:rPr>
                <w:b w:val="0"/>
                <w:bCs w:val="0"/>
                <w:sz w:val="24"/>
                <w:szCs w:val="24"/>
              </w:rPr>
              <w:t xml:space="preserve">регионального проекта Новосибирской области «Малое и среднее предпринимательство и поддержка индивидуальной предпринимательской инициативы».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4" w:type="dxa"/>
            <w:textDirection w:val="lrTb"/>
            <w:noWrap w:val="false"/>
          </w:tcPr>
          <w:p>
            <w:pPr>
              <w:pStyle w:val="617"/>
              <w:ind w:left="0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 количестве оказанных услуг получателям поддержки формируются на основе отчетов, предоставляемых в Минпромторг НСО АНО «ЦСРП НСО»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07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субъектов МСП-экспортеров, заключивших экспортные контракты по результатам услуг ЦПЭ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накопительный итог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0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Фактические значения рассчитываются как: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17"/>
              <w:ind w:firstLine="0"/>
              <w:widowControl w:val="off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Кол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ичество субъектов МСП, воспользовавшихся услугами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ЦПЭ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и заключивших по результатам предоставления услуг в отчетном периоде контракты о поставке на экспорт товаров (работ, услуг).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617"/>
              <w:ind w:firstLine="0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Плановые значения:</w:t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плановые значения определены на основании анализа итогов реализации аналогичных мероприятий за предшествующий период с учетом запланированного объема финансирования соответствующих мероприятий государственной программы.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Достижение значений показателя осуществляется за счет мер, реализуемых в рамках реализации </w:t>
            </w:r>
            <w:r>
              <w:rPr>
                <w:b w:val="0"/>
                <w:bCs w:val="0"/>
                <w:sz w:val="24"/>
                <w:szCs w:val="24"/>
              </w:rPr>
              <w:t xml:space="preserve">регионального проекта </w:t>
            </w:r>
            <w:r>
              <w:rPr>
                <w:b w:val="0"/>
                <w:bCs w:val="0"/>
                <w:sz w:val="24"/>
                <w:szCs w:val="24"/>
              </w:rPr>
              <w:t xml:space="preserve">Новосибирской области</w:t>
            </w:r>
            <w:r>
              <w:rPr>
                <w:b w:val="0"/>
                <w:bCs w:val="0"/>
                <w:sz w:val="24"/>
                <w:szCs w:val="24"/>
              </w:rPr>
              <w:t xml:space="preserve"> «Малое и среднее предпринимательство и поддержка индивидуальной предпринимательской инициативы».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4" w:type="dxa"/>
            <w:textDirection w:val="lrTb"/>
            <w:noWrap w:val="false"/>
          </w:tcPr>
          <w:p>
            <w:pPr>
              <w:pStyle w:val="617"/>
              <w:ind w:left="0" w:righ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 количестве субъектов МСП, заключивших экспортные контракты, формируются на основе отчетов, предоставляемых в Минпромторг НСО АНО «ЦСРП НСО».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2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 ведомственного проекта «Государственная поддержка субъектов малого и среднего предпринимательства»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07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субъектов МСП и самозанятых граждан, получивших поддержку в рамках реализации мероприятий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накопительный итог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0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Фактические значения рассчитываются как:</w:t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суммарное количество субъектов МСП, получивших финансовую, имущественную поддержку и воспользовавшихся услугами организаций инфраструктуры поддержки малого и среднего предпринимательства по итогам реализации государственной программы.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Плановые значения:</w:t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плановые значения определены на основании анализа итогов реализации аналогичных мероприятий за предшествующий период с учетом запланированного объема финансирования соответствующих мероприятий государственной программы.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Достижение значений показателя осуществляется в том числе за счет мер, реализуемых в рамках следующих структу</w:t>
            </w:r>
            <w:r>
              <w:rPr>
                <w:b w:val="0"/>
                <w:bCs w:val="0"/>
                <w:sz w:val="24"/>
                <w:szCs w:val="24"/>
              </w:rPr>
              <w:t xml:space="preserve">рных элементов: региональный проект Новосибирской области «Малое и среднее предпринимательство и поддержка индивидуальной предпринимательской инициативы», ведомственны</w:t>
            </w:r>
            <w:r>
              <w:rPr>
                <w:sz w:val="24"/>
                <w:szCs w:val="24"/>
              </w:rPr>
              <w:t xml:space="preserve">й проект «Государственная поддержка субъектов малого и среднего предпринимательства».                      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4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Данные формируются на основе данных Минпромторга НСО о количестве получателей поддержки и отчетов организаций инфраструктуры, предоставляемых в Минпромторг НСО.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отчетов субъектов МСП при реализации мероприятий (результатов) 000139, 000141, 000143, 000144, 000995 ведомственного проекта «Государственная поддержка субъектов малого и среднего предпринимательства» государственной программы.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07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накопительный итог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0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Фактические значения рассчитываются по формуле: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617"/>
              <w:ind w:firstLine="0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/>
            <m:oMathPara>
              <m:oMathParaPr>
                <m:jc m:val="center"/>
              </m:oMathParaPr>
              <m:oMath>
                <m:nary>
                  <m:naryPr>
                    <m:chr m:val="∑"/>
                    <m:grow m:val="off"/>
                    <m:ctrlPr/>
                  </m:naryPr>
                  <m:sub>
                    <m:r>
                      <w:rPr>
                        <w:rFonts w:ascii="Cambria Math" w:hAnsi="Cambria Math"/>
                      </w:rPr>
                      <m:rPr/>
                      <m:t>i</m:t>
                    </m:r>
                    <m:r>
                      <w:rPr>
                        <w:rFonts w:ascii="Cambria Math" w:hAnsi="Cambria Math"/>
                      </w:rPr>
                      <m:rPr/>
                      <m:t>=</m:t>
                    </m:r>
                    <m:r>
                      <w:rPr>
                        <w:rFonts w:ascii="Cambria Math" w:hAnsi="Cambria Math"/>
                      </w:rPr>
                      <m:rPr/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rPr/>
                      <m:t>n</m:t>
                    </m:r>
                  </m:sup>
                  <m:e>
                    <m:r>
                      <w:rPr>
                        <w:rFonts w:ascii="Cambria Math" w:hAnsi="Cambria Math"/>
                      </w:rPr>
                      <m:rPr/>
                      <m:t>Si</m:t>
                    </m:r>
                    <m:r>
                      <w:rPr>
                        <w:rFonts w:ascii="Cambria Math" w:hAnsi="Cambria Math"/>
                      </w:rPr>
                      <m:rPr/>
                      <m:t>−</m:t>
                    </m:r>
                    <m:r>
                      <w:rPr>
                        <w:rFonts w:ascii="Cambria Math" w:hAnsi="Cambria Math"/>
                      </w:rPr>
                      <m:rPr/>
                      <m:t>Fi</m:t>
                    </m:r>
                  </m:e>
                </m:nary>
              </m:oMath>
            </m:oMathPara>
            <w:r/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где: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- среднесписочная численность работников субъектов МСП в отчетном году;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 - среднесписочная численность работников субъектов МСП в году, предшествующему отчетному;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- количество субъектов МСП-получателей финансовой поддержки, которым установлены договором (соглашением) обязательства по созданию новых рабочих мест, в рамках реализации мероприятий государственной программы.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Фактические значения рассчитываются как: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значений показателя субъектов МСП, получивших финансовую, имущественную поддержку и воспользовавшихся услугами организаций инфраструктуры поддержки малого и среднего предпринимательства по итогам реализации государственной программы.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Плановые значения:</w:t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плановые значения определены на основании анализа итогов реализации аналогичных мероприятий за предшествующий период с учетом запланированного объема финансирования соответствующих мероприятий государственной программы.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Достижение значений показателя осуществляется в том числе за счет мер, реализуемых в рамках следующих структурных элементов: региональный проект Новосибирской области </w:t>
            </w:r>
            <w:r>
              <w:rPr>
                <w:b w:val="0"/>
                <w:bCs w:val="0"/>
                <w:sz w:val="24"/>
                <w:szCs w:val="24"/>
              </w:rPr>
              <w:t xml:space="preserve">«Малое и среднее предпринимательство и поддержка индивидуальной предпринимательской инициативы», </w:t>
            </w:r>
            <w:r>
              <w:rPr>
                <w:sz w:val="24"/>
                <w:szCs w:val="24"/>
              </w:rPr>
              <w:t xml:space="preserve">ведомственный проект «Государственная поддержка субъектов малого и среднего предпринимательства».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4" w:type="dxa"/>
            <w:textDirection w:val="lrTb"/>
            <w:noWrap w:val="false"/>
          </w:tcPr>
          <w:p>
            <w:pPr>
              <w:pStyle w:val="617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</w:t>
            </w:r>
            <w:r>
              <w:rPr>
                <w:sz w:val="24"/>
                <w:szCs w:val="24"/>
              </w:rPr>
              <w:t xml:space="preserve">ые данные формируются ежегодно на основании отчетов субъектов МСП, представляемых в Минпромторг НСО, и отчетов организаций инфраструктуры, предоставляемых в Минпромторг НСО; квартальная информация формируется на основании оценочных данных Минпромторга НСО.</w:t>
            </w:r>
            <w:r>
              <w:rPr>
                <w:sz w:val="24"/>
                <w:szCs w:val="24"/>
              </w:rPr>
            </w:r>
          </w:p>
          <w:p>
            <w:pPr>
              <w:pStyle w:val="617"/>
              <w:ind w:firstLine="0"/>
              <w:widowControl w:val="off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Сбор отчетов субъектов МСП при реализации </w:t>
            </w:r>
            <w:r>
              <w:rPr>
                <w:sz w:val="24"/>
                <w:szCs w:val="24"/>
              </w:rPr>
              <w:t xml:space="preserve">мероприятий (результатов) 000139 000141 000143</w:t>
            </w:r>
            <w:r>
              <w:rPr>
                <w:sz w:val="24"/>
                <w:szCs w:val="24"/>
              </w:rPr>
              <w:t xml:space="preserve"> ведомственного проекта «Го</w:t>
            </w:r>
            <w:r>
              <w:rPr>
                <w:sz w:val="24"/>
                <w:szCs w:val="24"/>
                <w:highlight w:val="white"/>
              </w:rPr>
              <w:t xml:space="preserve">сударственная поддержка субъектов малого и среднего предпринимательства» </w:t>
            </w:r>
            <w:r>
              <w:rPr>
                <w:sz w:val="24"/>
                <w:szCs w:val="24"/>
              </w:rPr>
              <w:t xml:space="preserve">государственной программы.</w:t>
            </w:r>
            <w:r>
              <w:rPr>
                <w:sz w:val="24"/>
                <w:szCs w:val="24"/>
                <w:highlight w:val="red"/>
              </w:rPr>
            </w:r>
          </w:p>
        </w:tc>
      </w:tr>
    </w:tbl>
    <w:p>
      <w:pPr>
        <w:pStyle w:val="70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rPr>
          <w:sz w:val="24"/>
          <w:szCs w:val="24"/>
        </w:rPr>
      </w:pPr>
      <w:r>
        <w:rPr>
          <w:sz w:val="24"/>
          <w:szCs w:val="24"/>
        </w:rPr>
        <w:t xml:space="preserve">Применяемые сокращения:</w:t>
      </w:r>
      <w:r>
        <w:rPr>
          <w:sz w:val="24"/>
          <w:szCs w:val="24"/>
        </w:rPr>
      </w:r>
    </w:p>
    <w:p>
      <w:pPr>
        <w:pStyle w:val="617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Минпромторг НСО – министерство промышленности, торговли и развития предпринимательства Новосибирской области;</w:t>
      </w:r>
      <w:r>
        <w:rPr>
          <w:rFonts w:eastAsia="Calibri" w:eastAsiaTheme="minorHAnsi"/>
          <w:sz w:val="24"/>
          <w:szCs w:val="24"/>
        </w:rPr>
      </w:r>
    </w:p>
    <w:p>
      <w:pPr>
        <w:pStyle w:val="617"/>
        <w:ind w:left="709" w:firstLine="0"/>
        <w:widowControl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АНО «ЦСРП НСО»</w:t>
      </w:r>
      <w:r>
        <w:rPr>
          <w:sz w:val="24"/>
          <w:szCs w:val="24"/>
          <w:highlight w:val="white"/>
        </w:rPr>
        <w:t xml:space="preserve"> – автономная некоммерческая организация «Центр содействия развитию предпринимательства Новосибирской области»;</w:t>
      </w:r>
      <w:r>
        <w:rPr>
          <w:sz w:val="24"/>
          <w:szCs w:val="24"/>
          <w:highlight w:val="white"/>
        </w:rPr>
      </w:r>
    </w:p>
    <w:p>
      <w:pPr>
        <w:pStyle w:val="617"/>
        <w:ind w:firstLine="0"/>
        <w:widowControl/>
        <w:rPr>
          <w:rFonts w:eastAsia="Calibri" w:eastAsiaTheme="minorHAnsi"/>
          <w:color w:val="ff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</w:rPr>
        <w:t xml:space="preserve">субъекты </w:t>
      </w:r>
      <w:r>
        <w:rPr>
          <w:rFonts w:eastAsia="Calibri" w:eastAsiaTheme="minorHAnsi"/>
          <w:color w:val="000000"/>
          <w:sz w:val="24"/>
          <w:szCs w:val="24"/>
          <w:highlight w:val="white"/>
        </w:rPr>
        <w:t xml:space="preserve">МСП </w:t>
      </w:r>
      <w:r>
        <w:rPr>
          <w:color w:val="000000"/>
          <w:sz w:val="24"/>
          <w:szCs w:val="24"/>
          <w:highlight w:val="white"/>
        </w:rPr>
        <w:t xml:space="preserve">–</w:t>
      </w:r>
      <w:r>
        <w:rPr>
          <w:rFonts w:eastAsia="Calibri" w:eastAsiaTheme="minorHAnsi"/>
          <w:color w:val="000000"/>
          <w:sz w:val="24"/>
          <w:szCs w:val="24"/>
          <w:highlight w:val="white"/>
        </w:rPr>
        <w:t xml:space="preserve"> субъекты малого и среднего предпринимательства.</w:t>
      </w:r>
      <w:r>
        <w:rPr>
          <w:rFonts w:eastAsia="Calibri" w:eastAsiaTheme="minorHAnsi"/>
          <w:color w:val="ff0000"/>
          <w:sz w:val="24"/>
          <w:szCs w:val="24"/>
          <w:highlight w:val="white"/>
        </w:rPr>
      </w:r>
    </w:p>
    <w:p>
      <w:pPr>
        <w:pStyle w:val="617"/>
        <w:ind w:firstLine="0"/>
        <w:widowControl/>
        <w:rPr>
          <w:rFonts w:eastAsia="Calibri" w:eastAsiaTheme="minorHAnsi"/>
          <w:sz w:val="24"/>
          <w:szCs w:val="24"/>
          <w:highlight w:val="white"/>
        </w:rPr>
      </w:pPr>
      <w:r>
        <w:rPr>
          <w:rFonts w:eastAsia="Calibri" w:eastAsiaTheme="minorHAnsi"/>
          <w:sz w:val="24"/>
          <w:szCs w:val="24"/>
          <w:highlight w:val="white"/>
        </w:rPr>
        <w:tab/>
        <w:t xml:space="preserve">ФНС России </w:t>
      </w:r>
      <w:r>
        <w:rPr>
          <w:sz w:val="24"/>
          <w:szCs w:val="24"/>
          <w:highlight w:val="white"/>
        </w:rPr>
        <w:t xml:space="preserve">–</w:t>
      </w:r>
      <w:r>
        <w:rPr>
          <w:rFonts w:eastAsia="Calibri" w:eastAsiaTheme="minorHAnsi"/>
          <w:sz w:val="24"/>
          <w:szCs w:val="24"/>
          <w:highlight w:val="white"/>
        </w:rPr>
        <w:t xml:space="preserve">  Федеральная налоговая служба Российской Федерации.</w:t>
      </w:r>
      <w:r>
        <w:rPr>
          <w:rFonts w:eastAsia="Calibri" w:eastAsiaTheme="minorHAnsi"/>
          <w:sz w:val="24"/>
          <w:szCs w:val="24"/>
          <w:highlight w:val="white"/>
        </w:rPr>
      </w:r>
    </w:p>
    <w:p>
      <w:pPr>
        <w:pStyle w:val="617"/>
        <w:rPr>
          <w:rFonts w:eastAsia="Calibri" w:eastAsiaTheme="minorHAnsi"/>
          <w:sz w:val="24"/>
          <w:szCs w:val="24"/>
          <w:highlight w:val="none"/>
        </w:rPr>
      </w:pPr>
      <w:r>
        <w:rPr>
          <w:sz w:val="24"/>
          <w:szCs w:val="24"/>
        </w:rPr>
        <w:t xml:space="preserve">Росстат </w:t>
      </w:r>
      <w:r>
        <w:rPr>
          <w:sz w:val="24"/>
          <w:szCs w:val="24"/>
          <w:highlight w:val="white"/>
        </w:rPr>
        <w:t xml:space="preserve">–</w:t>
      </w:r>
      <w:r>
        <w:rPr>
          <w:rFonts w:eastAsia="Calibri" w:eastAsiaTheme="minorHAnsi"/>
          <w:sz w:val="24"/>
          <w:szCs w:val="24"/>
          <w:highlight w:val="white"/>
        </w:rPr>
        <w:t xml:space="preserve">  Федеральная служба государственной статистики.</w:t>
      </w:r>
      <w:r>
        <w:rPr>
          <w:rFonts w:eastAsia="Calibri" w:eastAsiaTheme="minorHAnsi"/>
          <w:sz w:val="24"/>
          <w:szCs w:val="24"/>
          <w:highlight w:val="none"/>
        </w:rPr>
      </w:r>
    </w:p>
    <w:p>
      <w:pPr>
        <w:pStyle w:val="617"/>
        <w:rPr>
          <w:rFonts w:eastAsia="Calibri" w:eastAsiaTheme="minorHAnsi"/>
          <w:sz w:val="24"/>
          <w:szCs w:val="24"/>
          <w:highlight w:val="white"/>
        </w:rPr>
      </w:pPr>
      <w:r>
        <w:rPr>
          <w:rFonts w:cs="Times New Roman"/>
          <w:sz w:val="24"/>
          <w:szCs w:val="24"/>
        </w:rPr>
        <w:t xml:space="preserve">ЦПЭ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–</w:t>
      </w:r>
      <w:r>
        <w:rPr>
          <w:sz w:val="24"/>
          <w:szCs w:val="24"/>
        </w:rPr>
        <w:t xml:space="preserve"> Центр поддержки экспорта </w:t>
      </w:r>
      <w:r>
        <w:rPr>
          <w:b w:val="0"/>
          <w:bCs w:val="0"/>
          <w:sz w:val="24"/>
          <w:szCs w:val="24"/>
        </w:rPr>
        <w:t xml:space="preserve">Новосибирской области</w:t>
      </w:r>
      <w:r>
        <w:rPr>
          <w:sz w:val="24"/>
          <w:szCs w:val="24"/>
        </w:rPr>
        <w:t xml:space="preserve">.</w:t>
      </w:r>
      <w:r>
        <w:rPr>
          <w:rFonts w:eastAsia="Calibri" w:eastAsiaTheme="minorHAnsi"/>
          <w:sz w:val="24"/>
          <w:szCs w:val="24"/>
          <w:highlight w:val="white"/>
        </w:rPr>
      </w:r>
    </w:p>
    <w:p>
      <w:pPr>
        <w:pStyle w:val="617"/>
        <w:rPr>
          <w:rFonts w:eastAsia="Calibri" w:eastAsiaTheme="minorHAnsi"/>
          <w:sz w:val="24"/>
          <w:szCs w:val="24"/>
          <w:highlight w:val="white"/>
        </w:rPr>
      </w:pPr>
      <w:r>
        <w:rPr>
          <w:rFonts w:eastAsia="Calibri" w:eastAsiaTheme="minorHAnsi"/>
          <w:sz w:val="24"/>
          <w:szCs w:val="24"/>
          <w:highlight w:val="white"/>
        </w:rPr>
      </w:r>
      <w:r>
        <w:rPr>
          <w:rFonts w:eastAsia="Calibri" w:eastAsiaTheme="minorHAnsi"/>
          <w:sz w:val="24"/>
          <w:szCs w:val="24"/>
          <w:highlight w:val="white"/>
        </w:rPr>
      </w:r>
    </w:p>
    <w:p>
      <w:pPr>
        <w:pStyle w:val="617"/>
        <w:rPr>
          <w:rFonts w:eastAsia="Calibri" w:eastAsiaTheme="minorHAnsi"/>
          <w:highlight w:val="white"/>
        </w:rPr>
      </w:pPr>
      <w:r>
        <w:rPr>
          <w:rFonts w:eastAsia="Calibri" w:eastAsiaTheme="minorHAnsi"/>
          <w:highlight w:val="white"/>
        </w:rPr>
      </w:r>
      <w:r>
        <w:rPr>
          <w:rFonts w:eastAsia="Calibri" w:eastAsiaTheme="minorHAnsi"/>
          <w:highlight w:val="white"/>
        </w:rPr>
      </w:r>
    </w:p>
    <w:p>
      <w:pPr>
        <w:pStyle w:val="617"/>
        <w:jc w:val="center"/>
        <w:widowControl/>
        <w:rPr>
          <w:highlight w:val="white"/>
        </w:rPr>
      </w:pPr>
      <w:r>
        <w:rPr>
          <w:highlight w:val="white"/>
        </w:rPr>
        <w:t xml:space="preserve">________».                                                                       </w:t>
      </w:r>
      <w:r>
        <w:rPr>
          <w:highlight w:val="white"/>
        </w:rPr>
      </w:r>
    </w:p>
    <w:sectPr>
      <w:footnotePr/>
      <w:endnotePr/>
      <w:type w:val="nextPage"/>
      <w:pgSz w:w="16838" w:h="11906" w:orient="landscape"/>
      <w:pgMar w:top="851" w:right="567" w:bottom="709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Courier New">
    <w:panose1 w:val="020703090202050204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ahoma">
    <w:panose1 w:val="020B0604030504040204"/>
  </w:font>
  <w:font w:name="Baltica">
    <w:panose1 w:val="02000603000000000000"/>
  </w:font>
  <w:font w:name="Droid Sans Devanagari">
    <w:panose1 w:val="020B06060308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17" w:default="1">
    <w:name w:val="Normal"/>
    <w:qFormat/>
    <w:pPr>
      <w:ind w:firstLine="709"/>
      <w:jc w:val="both"/>
      <w:spacing w:before="0" w:beforeAutospacing="0" w:after="0" w:afterAutospacing="0" w:line="240" w:lineRule="auto"/>
      <w:widowControl w:val="off"/>
    </w:pPr>
    <w:rPr>
      <w:rFonts w:ascii="Times New Roman" w:hAnsi="Times New Roman" w:eastAsia="Tahoma" w:cs="Droid Sans Devanagari"/>
      <w:color w:val="auto"/>
      <w:sz w:val="28"/>
      <w:szCs w:val="28"/>
      <w:lang w:val="ru-RU" w:eastAsia="ru-RU" w:bidi="ar-SA"/>
    </w:rPr>
  </w:style>
  <w:style w:type="paragraph" w:styleId="618">
    <w:name w:val="Heading 1"/>
    <w:basedOn w:val="617"/>
    <w:next w:val="617"/>
    <w:link w:val="663"/>
    <w:uiPriority w:val="9"/>
    <w:qFormat/>
    <w:pPr>
      <w:ind w:firstLine="0"/>
      <w:jc w:val="center"/>
      <w:keepNext/>
      <w:widowControl/>
      <w:outlineLvl w:val="0"/>
    </w:pPr>
    <w:rPr>
      <w:b/>
      <w:bCs/>
      <w:sz w:val="36"/>
      <w:szCs w:val="36"/>
    </w:rPr>
  </w:style>
  <w:style w:type="paragraph" w:styleId="619">
    <w:name w:val="Heading 2"/>
    <w:basedOn w:val="617"/>
    <w:next w:val="617"/>
    <w:link w:val="657"/>
    <w:uiPriority w:val="99"/>
    <w:qFormat/>
    <w:pPr>
      <w:spacing w:before="120" w:after="120"/>
      <w:outlineLvl w:val="1"/>
    </w:pPr>
  </w:style>
  <w:style w:type="paragraph" w:styleId="620">
    <w:name w:val="Heading 3"/>
    <w:basedOn w:val="617"/>
    <w:next w:val="617"/>
    <w:link w:val="664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21">
    <w:name w:val="Heading 4"/>
    <w:basedOn w:val="617"/>
    <w:next w:val="617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next w:val="617"/>
    <w:link w:val="665"/>
    <w:uiPriority w:val="9"/>
    <w:qFormat/>
    <w:pPr>
      <w:ind w:left="-720" w:firstLine="720"/>
      <w:jc w:val="right"/>
      <w:keepNext/>
      <w:widowControl/>
      <w:outlineLvl w:val="4"/>
    </w:pPr>
    <w:rPr>
      <w:rFonts w:eastAsia="Arial Unicode MS"/>
      <w:szCs w:val="24"/>
    </w:rPr>
  </w:style>
  <w:style w:type="paragraph" w:styleId="623">
    <w:name w:val="Heading 6"/>
    <w:basedOn w:val="617"/>
    <w:next w:val="617"/>
    <w:link w:val="6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next w:val="617"/>
    <w:link w:val="6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next w:val="617"/>
    <w:link w:val="6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next w:val="617"/>
    <w:link w:val="6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4 Char"/>
    <w:basedOn w:val="6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28">
    <w:name w:val="Heading 6 Char"/>
    <w:basedOn w:val="6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29">
    <w:name w:val="Heading 7 Char"/>
    <w:basedOn w:val="6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0">
    <w:name w:val="Heading 8 Char"/>
    <w:basedOn w:val="6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1">
    <w:name w:val="Heading 9 Char"/>
    <w:basedOn w:val="6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2">
    <w:name w:val="Subtitle Char"/>
    <w:basedOn w:val="636"/>
    <w:uiPriority w:val="11"/>
    <w:qFormat/>
    <w:rPr>
      <w:sz w:val="24"/>
      <w:szCs w:val="24"/>
    </w:rPr>
  </w:style>
  <w:style w:type="character" w:styleId="633">
    <w:name w:val="Quote Char"/>
    <w:link w:val="685"/>
    <w:uiPriority w:val="29"/>
    <w:qFormat/>
    <w:rPr>
      <w:i/>
    </w:rPr>
  </w:style>
  <w:style w:type="character" w:styleId="634">
    <w:name w:val="Intense Quote Char"/>
    <w:link w:val="686"/>
    <w:uiPriority w:val="30"/>
    <w:qFormat/>
    <w:rPr>
      <w:i/>
    </w:rPr>
  </w:style>
  <w:style w:type="character" w:styleId="635">
    <w:name w:val="Endnote Text Char"/>
    <w:uiPriority w:val="99"/>
    <w:qFormat/>
    <w:rPr>
      <w:sz w:val="20"/>
    </w:rPr>
  </w:style>
  <w:style w:type="character" w:styleId="636" w:default="1">
    <w:name w:val="Default Paragraph Font"/>
    <w:uiPriority w:val="1"/>
    <w:semiHidden/>
    <w:unhideWhenUsed/>
    <w:qFormat/>
  </w:style>
  <w:style w:type="character" w:styleId="637" w:customStyle="1">
    <w:name w:val="Heading 1 Char"/>
    <w:basedOn w:val="636"/>
    <w:uiPriority w:val="9"/>
    <w:qFormat/>
    <w:rPr>
      <w:rFonts w:ascii="Arial" w:hAnsi="Arial" w:eastAsia="Arial" w:cs="Arial"/>
      <w:sz w:val="40"/>
      <w:szCs w:val="40"/>
    </w:rPr>
  </w:style>
  <w:style w:type="character" w:styleId="638" w:customStyle="1">
    <w:name w:val="Heading 2 Char"/>
    <w:basedOn w:val="636"/>
    <w:uiPriority w:val="9"/>
    <w:qFormat/>
    <w:rPr>
      <w:rFonts w:ascii="Arial" w:hAnsi="Arial" w:eastAsia="Arial" w:cs="Arial"/>
      <w:sz w:val="34"/>
    </w:rPr>
  </w:style>
  <w:style w:type="character" w:styleId="639" w:customStyle="1">
    <w:name w:val="Heading 3 Char"/>
    <w:basedOn w:val="636"/>
    <w:uiPriority w:val="9"/>
    <w:qFormat/>
    <w:rPr>
      <w:rFonts w:ascii="Arial" w:hAnsi="Arial" w:eastAsia="Arial" w:cs="Arial"/>
      <w:sz w:val="30"/>
      <w:szCs w:val="30"/>
    </w:rPr>
  </w:style>
  <w:style w:type="character" w:styleId="640" w:customStyle="1">
    <w:name w:val="Заголовок 4 Знак"/>
    <w:basedOn w:val="6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1" w:customStyle="1">
    <w:name w:val="Heading 5 Char"/>
    <w:basedOn w:val="6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2" w:customStyle="1">
    <w:name w:val="Заголовок 6 Знак"/>
    <w:basedOn w:val="6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3" w:customStyle="1">
    <w:name w:val="Заголовок 7 Знак"/>
    <w:basedOn w:val="6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4" w:customStyle="1">
    <w:name w:val="Заголовок 8 Знак"/>
    <w:basedOn w:val="6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5" w:customStyle="1">
    <w:name w:val="Заголовок 9 Знак"/>
    <w:basedOn w:val="6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6" w:customStyle="1">
    <w:name w:val="Title Char"/>
    <w:basedOn w:val="636"/>
    <w:uiPriority w:val="10"/>
    <w:qFormat/>
    <w:rPr>
      <w:sz w:val="48"/>
      <w:szCs w:val="48"/>
    </w:rPr>
  </w:style>
  <w:style w:type="character" w:styleId="647" w:customStyle="1">
    <w:name w:val="Подзаголовок Знак"/>
    <w:basedOn w:val="636"/>
    <w:uiPriority w:val="11"/>
    <w:qFormat/>
    <w:rPr>
      <w:sz w:val="24"/>
      <w:szCs w:val="24"/>
    </w:rPr>
  </w:style>
  <w:style w:type="character" w:styleId="648" w:customStyle="1">
    <w:name w:val="Цитата 2 Знак"/>
    <w:link w:val="685"/>
    <w:uiPriority w:val="29"/>
    <w:qFormat/>
    <w:rPr>
      <w:i/>
    </w:rPr>
  </w:style>
  <w:style w:type="character" w:styleId="649" w:customStyle="1">
    <w:name w:val="Выделенная цитата Знак"/>
    <w:link w:val="686"/>
    <w:uiPriority w:val="30"/>
    <w:qFormat/>
    <w:rPr>
      <w:i/>
    </w:rPr>
  </w:style>
  <w:style w:type="character" w:styleId="650" w:customStyle="1">
    <w:name w:val="Header Char"/>
    <w:basedOn w:val="636"/>
    <w:uiPriority w:val="99"/>
    <w:qFormat/>
  </w:style>
  <w:style w:type="character" w:styleId="651" w:customStyle="1">
    <w:name w:val="Footer Char"/>
    <w:basedOn w:val="636"/>
    <w:uiPriority w:val="99"/>
    <w:qFormat/>
  </w:style>
  <w:style w:type="character" w:styleId="652" w:customStyle="1">
    <w:name w:val="Caption Char"/>
    <w:uiPriority w:val="99"/>
    <w:qFormat/>
  </w:style>
  <w:style w:type="character" w:styleId="653" w:customStyle="1">
    <w:name w:val="Footnote Text Char"/>
    <w:uiPriority w:val="99"/>
    <w:qFormat/>
    <w:rPr>
      <w:sz w:val="18"/>
    </w:rPr>
  </w:style>
  <w:style w:type="character" w:styleId="654" w:customStyle="1">
    <w:name w:val="Текст концевой сноски Знак"/>
    <w:uiPriority w:val="99"/>
    <w:qFormat/>
    <w:rPr>
      <w:sz w:val="20"/>
    </w:rPr>
  </w:style>
  <w:style w:type="character" w:styleId="655">
    <w:name w:val="Символ концевой сноски"/>
    <w:basedOn w:val="636"/>
    <w:uiPriority w:val="99"/>
    <w:semiHidden/>
    <w:unhideWhenUsed/>
    <w:qFormat/>
    <w:rPr>
      <w:vertAlign w:val="superscript"/>
    </w:rPr>
  </w:style>
  <w:style w:type="character" w:styleId="656">
    <w:name w:val="endnote reference"/>
    <w:rPr>
      <w:vertAlign w:val="superscript"/>
    </w:rPr>
  </w:style>
  <w:style w:type="character" w:styleId="657" w:customStyle="1">
    <w:name w:val="Заголовок 2 Знак"/>
    <w:basedOn w:val="636"/>
    <w:uiPriority w:val="99"/>
    <w:qFormat/>
    <w:rPr>
      <w:rFonts w:ascii="Cambria" w:hAnsi="Cambria" w:eastAsia="Arial" w:cs="Arial"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658" w:customStyle="1">
    <w:name w:val="Основной шрифт"/>
    <w:uiPriority w:val="99"/>
    <w:qFormat/>
  </w:style>
  <w:style w:type="character" w:styleId="659" w:customStyle="1">
    <w:name w:val="Заголовок Знак"/>
    <w:basedOn w:val="636"/>
    <w:uiPriority w:val="10"/>
    <w:qFormat/>
    <w:rPr>
      <w:rFonts w:ascii="Cambria" w:hAnsi="Cambria" w:eastAsia="Arial" w:cs="Arial" w:asciiTheme="majorHAnsi" w:hAnsiTheme="majorHAnsi" w:eastAsiaTheme="majorEastAsia" w:cstheme="majorBidi"/>
      <w:b/>
      <w:bCs/>
      <w:sz w:val="32"/>
      <w:szCs w:val="32"/>
    </w:rPr>
  </w:style>
  <w:style w:type="character" w:styleId="660" w:customStyle="1">
    <w:name w:val="Верхний колонтитул Знак"/>
    <w:basedOn w:val="636"/>
    <w:uiPriority w:val="99"/>
    <w:qFormat/>
    <w:rPr>
      <w:rFonts w:cs="Times New Roman"/>
      <w:sz w:val="28"/>
      <w:szCs w:val="28"/>
    </w:rPr>
  </w:style>
  <w:style w:type="character" w:styleId="661" w:customStyle="1">
    <w:name w:val="Нижний колонтитул Знак"/>
    <w:basedOn w:val="636"/>
    <w:uiPriority w:val="99"/>
    <w:qFormat/>
    <w:rPr>
      <w:rFonts w:cs="Times New Roman"/>
      <w:sz w:val="28"/>
      <w:szCs w:val="28"/>
    </w:rPr>
  </w:style>
  <w:style w:type="character" w:styleId="662" w:customStyle="1">
    <w:name w:val="Текст выноски Знак"/>
    <w:basedOn w:val="636"/>
    <w:link w:val="705"/>
    <w:uiPriority w:val="99"/>
    <w:semiHidden/>
    <w:qFormat/>
    <w:rPr>
      <w:rFonts w:ascii="Tahoma" w:hAnsi="Tahoma" w:cs="Tahoma"/>
      <w:sz w:val="16"/>
      <w:szCs w:val="16"/>
    </w:rPr>
  </w:style>
  <w:style w:type="character" w:styleId="663" w:customStyle="1">
    <w:name w:val="Заголовок 1 Знак"/>
    <w:basedOn w:val="636"/>
    <w:uiPriority w:val="9"/>
    <w:qFormat/>
    <w:rPr>
      <w:b/>
      <w:bCs/>
      <w:sz w:val="36"/>
      <w:szCs w:val="36"/>
    </w:rPr>
  </w:style>
  <w:style w:type="character" w:styleId="664" w:customStyle="1">
    <w:name w:val="Заголовок 3 Знак"/>
    <w:basedOn w:val="636"/>
    <w:uiPriority w:val="99"/>
    <w:qFormat/>
    <w:rPr>
      <w:rFonts w:ascii="Arial" w:hAnsi="Arial" w:cs="Arial"/>
      <w:b/>
      <w:bCs/>
      <w:sz w:val="26"/>
      <w:szCs w:val="26"/>
    </w:rPr>
  </w:style>
  <w:style w:type="character" w:styleId="665" w:customStyle="1">
    <w:name w:val="Заголовок 5 Знак"/>
    <w:basedOn w:val="636"/>
    <w:uiPriority w:val="9"/>
    <w:qFormat/>
    <w:rPr>
      <w:rFonts w:eastAsia="Arial Unicode MS"/>
      <w:sz w:val="28"/>
      <w:szCs w:val="24"/>
    </w:rPr>
  </w:style>
  <w:style w:type="character" w:styleId="666">
    <w:name w:val="Hyperlink"/>
    <w:basedOn w:val="636"/>
    <w:uiPriority w:val="99"/>
    <w:rPr>
      <w:rFonts w:cs="Times New Roman"/>
      <w:color w:val="0000ff"/>
      <w:u w:val="single"/>
    </w:rPr>
  </w:style>
  <w:style w:type="character" w:styleId="667" w:customStyle="1">
    <w:name w:val="Основной текст Знак"/>
    <w:basedOn w:val="636"/>
    <w:uiPriority w:val="99"/>
    <w:qFormat/>
    <w:rPr>
      <w:b/>
      <w:bCs/>
      <w:sz w:val="28"/>
      <w:szCs w:val="28"/>
    </w:rPr>
  </w:style>
  <w:style w:type="character" w:styleId="668" w:customStyle="1">
    <w:name w:val="Основной текст с отступом 3 Знак"/>
    <w:basedOn w:val="636"/>
    <w:link w:val="710"/>
    <w:uiPriority w:val="99"/>
    <w:qFormat/>
    <w:rPr>
      <w:sz w:val="16"/>
      <w:szCs w:val="16"/>
    </w:rPr>
  </w:style>
  <w:style w:type="character" w:styleId="669">
    <w:name w:val="page number"/>
    <w:basedOn w:val="636"/>
    <w:uiPriority w:val="99"/>
    <w:qFormat/>
    <w:rPr>
      <w:rFonts w:cs="Times New Roman"/>
    </w:rPr>
  </w:style>
  <w:style w:type="character" w:styleId="670">
    <w:name w:val="annotation reference"/>
    <w:basedOn w:val="636"/>
    <w:uiPriority w:val="99"/>
    <w:qFormat/>
    <w:rPr>
      <w:rFonts w:cs="Times New Roman"/>
      <w:sz w:val="16"/>
    </w:rPr>
  </w:style>
  <w:style w:type="character" w:styleId="671" w:customStyle="1">
    <w:name w:val="Текст примечания Знак"/>
    <w:basedOn w:val="636"/>
    <w:link w:val="713"/>
    <w:uiPriority w:val="99"/>
    <w:qFormat/>
    <w:rPr>
      <w:sz w:val="20"/>
      <w:szCs w:val="20"/>
    </w:rPr>
  </w:style>
  <w:style w:type="character" w:styleId="672" w:customStyle="1">
    <w:name w:val="Тема примечания Знак"/>
    <w:basedOn w:val="671"/>
    <w:link w:val="714"/>
    <w:uiPriority w:val="99"/>
    <w:qFormat/>
    <w:rPr>
      <w:b/>
      <w:bCs/>
      <w:sz w:val="20"/>
      <w:szCs w:val="20"/>
    </w:rPr>
  </w:style>
  <w:style w:type="character" w:styleId="673" w:customStyle="1">
    <w:name w:val="Текст сноски Знак"/>
    <w:basedOn w:val="636"/>
    <w:uiPriority w:val="99"/>
    <w:qFormat/>
    <w:rPr>
      <w:rFonts w:ascii="Calibri" w:hAnsi="Calibri"/>
      <w:sz w:val="20"/>
      <w:szCs w:val="20"/>
    </w:rPr>
  </w:style>
  <w:style w:type="character" w:styleId="674" w:customStyle="1">
    <w:name w:val="Основной текст (2)"/>
    <w:link w:val="717"/>
    <w:qFormat/>
    <w:rPr>
      <w:sz w:val="28"/>
      <w:shd w:val="clear" w:color="auto" w:fill="ffffff"/>
    </w:rPr>
  </w:style>
  <w:style w:type="character" w:styleId="675">
    <w:name w:val="Символ сноски"/>
    <w:basedOn w:val="636"/>
    <w:uiPriority w:val="99"/>
    <w:semiHidden/>
    <w:unhideWhenUsed/>
    <w:qFormat/>
    <w:rPr>
      <w:vertAlign w:val="superscript"/>
    </w:rPr>
  </w:style>
  <w:style w:type="character" w:styleId="676">
    <w:name w:val="footnote reference"/>
    <w:rPr>
      <w:vertAlign w:val="superscript"/>
    </w:rPr>
  </w:style>
  <w:style w:type="character" w:styleId="677" w:customStyle="1">
    <w:name w:val="pl2-header"/>
    <w:basedOn w:val="636"/>
    <w:qFormat/>
  </w:style>
  <w:style w:type="paragraph" w:styleId="678">
    <w:name w:val="Заголовок"/>
    <w:basedOn w:val="617"/>
    <w:next w:val="679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79">
    <w:name w:val="Body Text"/>
    <w:basedOn w:val="617"/>
    <w:link w:val="667"/>
    <w:uiPriority w:val="99"/>
    <w:pPr>
      <w:ind w:firstLine="0"/>
      <w:jc w:val="center"/>
      <w:spacing w:line="360" w:lineRule="auto"/>
      <w:widowControl/>
    </w:pPr>
    <w:rPr>
      <w:b/>
      <w:bCs/>
    </w:rPr>
  </w:style>
  <w:style w:type="paragraph" w:styleId="680">
    <w:name w:val="List"/>
    <w:basedOn w:val="679"/>
    <w:rPr>
      <w:rFonts w:cs="Droid Sans Devanagari"/>
    </w:rPr>
  </w:style>
  <w:style w:type="paragraph" w:styleId="681">
    <w:name w:val="Caption"/>
    <w:basedOn w:val="617"/>
    <w:next w:val="617"/>
    <w:link w:val="652"/>
    <w:uiPriority w:val="35"/>
    <w:qFormat/>
    <w:pPr>
      <w:ind w:firstLine="0"/>
      <w:jc w:val="center"/>
      <w:spacing w:line="360" w:lineRule="auto"/>
      <w:widowControl/>
    </w:pPr>
    <w:rPr>
      <w:b/>
      <w:bCs/>
      <w:sz w:val="24"/>
      <w:szCs w:val="20"/>
    </w:rPr>
  </w:style>
  <w:style w:type="paragraph" w:styleId="682">
    <w:name w:val="Указатель"/>
    <w:basedOn w:val="617"/>
    <w:qFormat/>
    <w:pPr>
      <w:suppressLineNumbers/>
    </w:pPr>
    <w:rPr>
      <w:rFonts w:cs="Droid Sans Devanagari"/>
    </w:rPr>
  </w:style>
  <w:style w:type="paragraph" w:styleId="683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ahoma" w:cs="Droid Sans Devanagari"/>
      <w:color w:val="auto"/>
      <w:sz w:val="22"/>
      <w:szCs w:val="22"/>
      <w:lang w:val="ru-RU" w:eastAsia="ru-RU" w:bidi="ar-SA"/>
    </w:rPr>
  </w:style>
  <w:style w:type="paragraph" w:styleId="684">
    <w:name w:val="Subtitle"/>
    <w:basedOn w:val="617"/>
    <w:next w:val="617"/>
    <w:link w:val="647"/>
    <w:uiPriority w:val="11"/>
    <w:qFormat/>
    <w:pPr>
      <w:spacing w:before="200" w:after="200"/>
    </w:pPr>
    <w:rPr>
      <w:sz w:val="24"/>
      <w:szCs w:val="24"/>
    </w:rPr>
  </w:style>
  <w:style w:type="paragraph" w:styleId="685">
    <w:name w:val="Quote"/>
    <w:basedOn w:val="617"/>
    <w:next w:val="617"/>
    <w:link w:val="648"/>
    <w:uiPriority w:val="29"/>
    <w:qFormat/>
    <w:pPr>
      <w:ind w:left="720" w:right="720" w:firstLine="709"/>
    </w:pPr>
    <w:rPr>
      <w:i/>
    </w:rPr>
  </w:style>
  <w:style w:type="paragraph" w:styleId="686">
    <w:name w:val="Intense Quote"/>
    <w:basedOn w:val="617"/>
    <w:next w:val="617"/>
    <w:link w:val="649"/>
    <w:uiPriority w:val="30"/>
    <w:qFormat/>
    <w:pPr>
      <w:ind w:left="720" w:right="720" w:firstLine="709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7">
    <w:name w:val="endnote text"/>
    <w:basedOn w:val="617"/>
    <w:link w:val="654"/>
    <w:uiPriority w:val="99"/>
    <w:semiHidden/>
    <w:unhideWhenUsed/>
    <w:rPr>
      <w:sz w:val="20"/>
    </w:rPr>
  </w:style>
  <w:style w:type="paragraph" w:styleId="688">
    <w:name w:val="toc 1"/>
    <w:basedOn w:val="617"/>
    <w:next w:val="617"/>
    <w:uiPriority w:val="39"/>
    <w:unhideWhenUsed/>
    <w:pPr>
      <w:ind w:firstLine="0"/>
      <w:spacing w:before="0" w:after="57"/>
    </w:pPr>
  </w:style>
  <w:style w:type="paragraph" w:styleId="689">
    <w:name w:val="toc 2"/>
    <w:basedOn w:val="617"/>
    <w:next w:val="617"/>
    <w:uiPriority w:val="39"/>
    <w:unhideWhenUsed/>
    <w:pPr>
      <w:ind w:left="283" w:firstLine="0"/>
      <w:spacing w:before="0" w:after="57"/>
    </w:pPr>
  </w:style>
  <w:style w:type="paragraph" w:styleId="690">
    <w:name w:val="toc 3"/>
    <w:basedOn w:val="617"/>
    <w:next w:val="617"/>
    <w:uiPriority w:val="39"/>
    <w:unhideWhenUsed/>
    <w:pPr>
      <w:ind w:left="567" w:firstLine="0"/>
      <w:spacing w:before="0" w:after="57"/>
    </w:pPr>
  </w:style>
  <w:style w:type="paragraph" w:styleId="691">
    <w:name w:val="toc 4"/>
    <w:basedOn w:val="617"/>
    <w:next w:val="617"/>
    <w:uiPriority w:val="39"/>
    <w:unhideWhenUsed/>
    <w:pPr>
      <w:ind w:left="850" w:firstLine="0"/>
      <w:spacing w:before="0" w:after="57"/>
    </w:pPr>
  </w:style>
  <w:style w:type="paragraph" w:styleId="692">
    <w:name w:val="toc 5"/>
    <w:basedOn w:val="617"/>
    <w:next w:val="617"/>
    <w:uiPriority w:val="39"/>
    <w:unhideWhenUsed/>
    <w:pPr>
      <w:ind w:left="1134" w:firstLine="0"/>
      <w:spacing w:before="0" w:after="57"/>
    </w:pPr>
  </w:style>
  <w:style w:type="paragraph" w:styleId="693">
    <w:name w:val="toc 6"/>
    <w:basedOn w:val="617"/>
    <w:next w:val="617"/>
    <w:uiPriority w:val="39"/>
    <w:unhideWhenUsed/>
    <w:pPr>
      <w:ind w:left="1417" w:firstLine="0"/>
      <w:spacing w:before="0" w:after="57"/>
    </w:pPr>
  </w:style>
  <w:style w:type="paragraph" w:styleId="694">
    <w:name w:val="toc 7"/>
    <w:basedOn w:val="617"/>
    <w:next w:val="617"/>
    <w:uiPriority w:val="39"/>
    <w:unhideWhenUsed/>
    <w:pPr>
      <w:ind w:left="1701" w:firstLine="0"/>
      <w:spacing w:before="0" w:after="57"/>
    </w:pPr>
  </w:style>
  <w:style w:type="paragraph" w:styleId="695">
    <w:name w:val="toc 8"/>
    <w:basedOn w:val="617"/>
    <w:next w:val="617"/>
    <w:uiPriority w:val="39"/>
    <w:unhideWhenUsed/>
    <w:pPr>
      <w:ind w:left="1984" w:firstLine="0"/>
      <w:spacing w:before="0" w:after="57"/>
    </w:pPr>
  </w:style>
  <w:style w:type="paragraph" w:styleId="696">
    <w:name w:val="toc 9"/>
    <w:basedOn w:val="617"/>
    <w:next w:val="617"/>
    <w:uiPriority w:val="39"/>
    <w:unhideWhenUsed/>
    <w:pPr>
      <w:ind w:left="2268" w:firstLine="0"/>
      <w:spacing w:before="0" w:after="57"/>
    </w:pPr>
  </w:style>
  <w:style w:type="paragraph" w:styleId="697">
    <w:name w:val="Index Heading"/>
    <w:basedOn w:val="678"/>
  </w:style>
  <w:style w:type="paragraph" w:styleId="698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Times New Roman" w:hAnsi="Times New Roman" w:eastAsia="Tahoma" w:cs="Droid Sans Devanagari"/>
      <w:color w:val="auto"/>
      <w:sz w:val="22"/>
      <w:szCs w:val="22"/>
      <w:lang w:val="ru-RU" w:eastAsia="ru-RU" w:bidi="ar-SA"/>
    </w:rPr>
  </w:style>
  <w:style w:type="paragraph" w:styleId="699">
    <w:name w:val="table of figures"/>
    <w:basedOn w:val="617"/>
    <w:next w:val="617"/>
    <w:uiPriority w:val="99"/>
    <w:unhideWhenUsed/>
    <w:qFormat/>
  </w:style>
  <w:style w:type="paragraph" w:styleId="700" w:customStyle="1">
    <w:name w:val="Eiio"/>
    <w:basedOn w:val="617"/>
    <w:uiPriority w:val="99"/>
    <w:qFormat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701">
    <w:name w:val="Title"/>
    <w:basedOn w:val="617"/>
    <w:link w:val="659"/>
    <w:uiPriority w:val="10"/>
    <w:qFormat/>
    <w:pPr>
      <w:jc w:val="center"/>
      <w:spacing w:before="240" w:after="60"/>
    </w:pPr>
    <w:rPr>
      <w:rFonts w:ascii="Arial" w:hAnsi="Arial" w:cs="Arial"/>
      <w:b/>
      <w:bCs/>
      <w:sz w:val="32"/>
      <w:szCs w:val="32"/>
    </w:rPr>
  </w:style>
  <w:style w:type="paragraph" w:styleId="702">
    <w:name w:val="Колонтитул"/>
    <w:basedOn w:val="617"/>
    <w:qFormat/>
  </w:style>
  <w:style w:type="paragraph" w:styleId="703">
    <w:name w:val="Header"/>
    <w:basedOn w:val="617"/>
    <w:link w:val="660"/>
    <w:uiPriority w:val="99"/>
    <w:pPr>
      <w:tabs>
        <w:tab w:val="clear" w:pos="708" w:leader="none"/>
        <w:tab w:val="center" w:pos="4536" w:leader="none"/>
        <w:tab w:val="right" w:pos="9072" w:leader="none"/>
      </w:tabs>
    </w:pPr>
  </w:style>
  <w:style w:type="paragraph" w:styleId="704">
    <w:name w:val="Footer"/>
    <w:basedOn w:val="617"/>
    <w:link w:val="661"/>
    <w:uiPriority w:val="99"/>
    <w:pPr>
      <w:tabs>
        <w:tab w:val="clear" w:pos="708" w:leader="none"/>
        <w:tab w:val="center" w:pos="4536" w:leader="none"/>
        <w:tab w:val="right" w:pos="9072" w:leader="none"/>
      </w:tabs>
    </w:pPr>
  </w:style>
  <w:style w:type="paragraph" w:styleId="705">
    <w:name w:val="Balloon Text"/>
    <w:basedOn w:val="617"/>
    <w:link w:val="66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706">
    <w:name w:val="List Paragraph"/>
    <w:basedOn w:val="617"/>
    <w:uiPriority w:val="34"/>
    <w:qFormat/>
    <w:pPr>
      <w:contextualSpacing/>
      <w:ind w:left="720" w:firstLine="0"/>
      <w:jc w:val="left"/>
      <w:spacing w:before="0" w:after="0"/>
      <w:widowControl/>
    </w:pPr>
    <w:rPr>
      <w:sz w:val="24"/>
      <w:szCs w:val="24"/>
    </w:rPr>
  </w:style>
  <w:style w:type="paragraph" w:styleId="707" w:customStyle="1">
    <w:name w:val="ConsPlusNormal"/>
    <w:qFormat/>
    <w:pPr>
      <w:ind w:firstLine="720"/>
      <w:jc w:val="left"/>
      <w:spacing w:before="0" w:beforeAutospacing="0" w:after="0" w:afterAutospacing="0" w:line="240" w:lineRule="auto"/>
      <w:widowControl/>
    </w:pPr>
    <w:rPr>
      <w:rFonts w:ascii="Arial" w:hAnsi="Arial" w:eastAsia="Tahoma" w:cs="Arial"/>
      <w:color w:val="auto"/>
      <w:sz w:val="20"/>
      <w:szCs w:val="20"/>
      <w:lang w:val="ru-RU" w:eastAsia="ru-RU" w:bidi="ar-SA"/>
    </w:rPr>
  </w:style>
  <w:style w:type="paragraph" w:styleId="708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Times New Roman" w:hAnsi="Times New Roman" w:eastAsia="Tahoma" w:cs="Droid Sans Devanagari"/>
      <w:b/>
      <w:bCs/>
      <w:color w:val="auto"/>
      <w:sz w:val="24"/>
      <w:szCs w:val="24"/>
      <w:lang w:val="ru-RU" w:eastAsia="ru-RU" w:bidi="ar-SA"/>
    </w:rPr>
  </w:style>
  <w:style w:type="paragraph" w:styleId="709" w:customStyle="1">
    <w:name w:val="ConsPlusNonformat"/>
    <w:qFormat/>
    <w:pPr>
      <w:jc w:val="left"/>
      <w:spacing w:before="0" w:beforeAutospacing="0" w:after="0" w:afterAutospacing="0" w:line="240" w:lineRule="auto"/>
      <w:widowControl/>
    </w:pPr>
    <w:rPr>
      <w:rFonts w:ascii="Courier New" w:hAnsi="Courier New" w:eastAsia="Tahoma" w:cs="Courier New"/>
      <w:color w:val="auto"/>
      <w:sz w:val="20"/>
      <w:szCs w:val="20"/>
      <w:lang w:val="ru-RU" w:eastAsia="ru-RU" w:bidi="ar-SA"/>
    </w:rPr>
  </w:style>
  <w:style w:type="paragraph" w:styleId="710">
    <w:name w:val="Body Text Indent 3"/>
    <w:basedOn w:val="617"/>
    <w:link w:val="668"/>
    <w:uiPriority w:val="99"/>
    <w:qFormat/>
    <w:pPr>
      <w:ind w:left="283" w:firstLine="0"/>
      <w:jc w:val="left"/>
      <w:spacing w:before="0" w:after="120"/>
      <w:widowControl/>
    </w:pPr>
    <w:rPr>
      <w:sz w:val="16"/>
      <w:szCs w:val="16"/>
    </w:rPr>
  </w:style>
  <w:style w:type="paragraph" w:styleId="711" w:customStyle="1">
    <w:name w:val="Абзац списка1"/>
    <w:basedOn w:val="617"/>
    <w:qFormat/>
    <w:pPr>
      <w:contextualSpacing/>
      <w:ind w:left="720" w:firstLine="0"/>
      <w:jc w:val="left"/>
      <w:spacing w:before="0" w:after="200" w:line="276" w:lineRule="auto"/>
      <w:widowControl/>
    </w:pPr>
    <w:rPr>
      <w:rFonts w:ascii="Calibri" w:hAnsi="Calibri"/>
      <w:sz w:val="22"/>
      <w:szCs w:val="22"/>
    </w:rPr>
  </w:style>
  <w:style w:type="paragraph" w:styleId="712" w:customStyle="1">
    <w:name w:val="ConsPlusCell"/>
    <w:uiPriority w:val="99"/>
    <w:qFormat/>
    <w:pPr>
      <w:jc w:val="left"/>
      <w:spacing w:before="0" w:beforeAutospacing="0" w:after="0" w:afterAutospacing="0" w:line="240" w:lineRule="auto"/>
      <w:widowControl w:val="off"/>
    </w:pPr>
    <w:rPr>
      <w:rFonts w:ascii="Arial" w:hAnsi="Arial" w:eastAsia="Tahoma" w:cs="Arial"/>
      <w:color w:val="auto"/>
      <w:sz w:val="20"/>
      <w:szCs w:val="20"/>
      <w:lang w:val="ru-RU" w:eastAsia="ru-RU" w:bidi="ar-SA"/>
    </w:rPr>
  </w:style>
  <w:style w:type="paragraph" w:styleId="713">
    <w:name w:val="annotation text"/>
    <w:basedOn w:val="617"/>
    <w:link w:val="671"/>
    <w:uiPriority w:val="99"/>
    <w:qFormat/>
    <w:pPr>
      <w:ind w:firstLine="0"/>
      <w:jc w:val="left"/>
      <w:widowControl/>
    </w:pPr>
    <w:rPr>
      <w:sz w:val="20"/>
      <w:szCs w:val="20"/>
    </w:rPr>
  </w:style>
  <w:style w:type="paragraph" w:styleId="714">
    <w:name w:val="annotation subject"/>
    <w:basedOn w:val="713"/>
    <w:next w:val="713"/>
    <w:link w:val="672"/>
    <w:uiPriority w:val="99"/>
    <w:qFormat/>
    <w:rPr>
      <w:b/>
      <w:bCs/>
    </w:rPr>
  </w:style>
  <w:style w:type="paragraph" w:styleId="715" w:customStyle="1">
    <w:name w:val="Обычный1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ahoma" w:cs="Droid Sans Devanagari"/>
      <w:color w:val="auto"/>
      <w:sz w:val="24"/>
      <w:szCs w:val="20"/>
      <w:lang w:val="ru-RU" w:eastAsia="ru-RU" w:bidi="ar-SA"/>
    </w:rPr>
  </w:style>
  <w:style w:type="paragraph" w:styleId="716">
    <w:name w:val="footnote text"/>
    <w:basedOn w:val="617"/>
    <w:link w:val="673"/>
    <w:uiPriority w:val="99"/>
    <w:unhideWhenUsed/>
    <w:pPr>
      <w:ind w:firstLine="0"/>
      <w:jc w:val="left"/>
      <w:spacing w:before="0" w:after="200" w:line="276" w:lineRule="auto"/>
      <w:widowControl/>
    </w:pPr>
    <w:rPr>
      <w:rFonts w:ascii="Calibri" w:hAnsi="Calibri"/>
      <w:sz w:val="20"/>
      <w:szCs w:val="20"/>
    </w:rPr>
  </w:style>
  <w:style w:type="paragraph" w:styleId="717" w:customStyle="1">
    <w:name w:val="Основной текст (2)1"/>
    <w:basedOn w:val="617"/>
    <w:link w:val="674"/>
    <w:qFormat/>
    <w:pPr>
      <w:ind w:firstLine="0"/>
      <w:jc w:val="center"/>
      <w:spacing w:before="420" w:after="420" w:line="240" w:lineRule="atLeast"/>
      <w:shd w:val="clear" w:color="auto" w:fill="ffffff"/>
      <w:widowControl/>
    </w:pPr>
    <w:rPr>
      <w:szCs w:val="22"/>
    </w:rPr>
  </w:style>
  <w:style w:type="numbering" w:styleId="718" w:default="1">
    <w:name w:val="No List"/>
    <w:uiPriority w:val="99"/>
    <w:semiHidden/>
    <w:unhideWhenUsed/>
    <w:qFormat/>
  </w:style>
  <w:style w:type="table" w:styleId="71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Table Grid Light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2">
    <w:name w:val="Plain Table 2"/>
    <w:basedOn w:val="71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3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49" w:customStyle="1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50" w:customStyle="1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751" w:customStyle="1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752" w:customStyle="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789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0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11" w:customStyle="1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13" w:customStyle="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14" w:customStyle="1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15" w:customStyle="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16" w:customStyle="1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17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25" w:customStyle="1">
    <w:name w:val="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26" w:customStyle="1">
    <w:name w:val="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27" w:customStyle="1">
    <w:name w:val="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28" w:customStyle="1">
    <w:name w:val="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29" w:customStyle="1">
    <w:name w:val="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30" w:customStyle="1">
    <w:name w:val="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31" w:customStyle="1">
    <w:name w:val="Bordered &amp; 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32" w:customStyle="1">
    <w:name w:val="Bordered &amp; 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33" w:customStyle="1">
    <w:name w:val="Bordered &amp; 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34" w:customStyle="1">
    <w:name w:val="Bordered &amp; 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35" w:customStyle="1">
    <w:name w:val="Bordered &amp; 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36" w:customStyle="1">
    <w:name w:val="Bordered &amp; 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37" w:customStyle="1">
    <w:name w:val="Bordered &amp; 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38" w:customStyle="1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39" w:customStyle="1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41" w:customStyle="1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42" w:customStyle="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43" w:customStyle="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44" w:customStyle="1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845">
    <w:name w:val="Table Grid"/>
    <w:basedOn w:val="719"/>
    <w:uiPriority w:val="59"/>
    <w:pPr>
      <w:jc w:val="both"/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2A741B-C0B2-4B74-8620-7F9F873F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GlavPEU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subject/>
  <dc:creator>Копылова Г.В.</dc:creator>
  <dc:description/>
  <dc:language>ru-RU</dc:language>
  <cp:revision>14</cp:revision>
  <dcterms:created xsi:type="dcterms:W3CDTF">2024-02-13T10:50:00Z</dcterms:created>
  <dcterms:modified xsi:type="dcterms:W3CDTF">2025-01-17T06:45:50Z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