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ind w:firstLine="0"/>
        <w:widowControl/>
      </w:pPr>
      <w:r>
        <w:t xml:space="preserve">__.05.2025</w:t>
      </w:r>
      <w:r>
        <w:t xml:space="preserve">  </w:t>
      </w:r>
      <w:r>
        <w:t xml:space="preserve">                                                   </w:t>
      </w:r>
      <w:r>
        <w:t xml:space="preserve">                     </w:t>
      </w:r>
      <w:r>
        <w:t xml:space="preserve">    </w:t>
      </w:r>
      <w:r>
        <w:t xml:space="preserve">    </w:t>
      </w:r>
      <w:r>
        <w:t xml:space="preserve"> </w:t>
      </w:r>
      <w:r>
        <w:t xml:space="preserve">    </w:t>
      </w:r>
      <w:r>
        <w:t xml:space="preserve">         </w:t>
      </w:r>
      <w:r>
        <w:t xml:space="preserve">   </w:t>
      </w:r>
      <w:r>
        <w:t xml:space="preserve">  </w:t>
      </w:r>
      <w:r>
        <w:t xml:space="preserve">№</w:t>
      </w:r>
      <w:r>
        <w:t xml:space="preserve"> </w:t>
      </w:r>
      <w:r>
        <w:t xml:space="preserve">___-НПА</w:t>
      </w:r>
      <w:r/>
    </w:p>
    <w:p>
      <w:pPr>
        <w:ind w:firstLine="0"/>
        <w:jc w:val="center"/>
        <w:widowControl/>
      </w:pPr>
      <w:r>
        <w:t xml:space="preserve">г. Новосибирск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tabs>
          <w:tab w:val="left" w:pos="0" w:leader="none"/>
          <w:tab w:val="left" w:pos="3605" w:leader="none"/>
          <w:tab w:val="left" w:pos="7305" w:leader="none"/>
          <w:tab w:val="left" w:pos="9030" w:leader="none"/>
        </w:tabs>
      </w:pPr>
      <w:r/>
      <w:r/>
    </w:p>
    <w:p>
      <w:pPr>
        <w:ind w:firstLine="0"/>
        <w:jc w:val="center"/>
        <w:tabs>
          <w:tab w:val="left" w:pos="0" w:leader="none"/>
          <w:tab w:val="left" w:pos="3605" w:leader="none"/>
          <w:tab w:val="left" w:pos="7305" w:leader="none"/>
          <w:tab w:val="left" w:pos="9030" w:leader="none"/>
        </w:tabs>
        <w:rPr>
          <w:bCs/>
          <w:color w:val="000000"/>
          <w:lang w:eastAsia="en-US"/>
        </w:rPr>
      </w:pPr>
      <w:r>
        <w:t xml:space="preserve">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рабочей группе 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/>
      <w:r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/>
      <w:r/>
      <w:r>
        <w:rPr>
          <w:bCs/>
          <w:color w:val="000000"/>
          <w:lang w:eastAsia="en-US"/>
        </w:rPr>
      </w:r>
    </w:p>
    <w:p>
      <w:pPr>
        <w:pStyle w:val="671"/>
        <w:ind w:firstLine="709"/>
        <w:jc w:val="both"/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after="0" w:afterAutospacing="0" w:line="240" w:lineRule="auto"/>
        <w:rPr>
          <w:b/>
          <w:bCs/>
          <w:highlight w:val="none"/>
          <w14:ligatures w14:val="none"/>
        </w:rPr>
      </w:pPr>
      <w:r>
        <w:rPr>
          <w:szCs w:val="28"/>
        </w:rPr>
        <w:t xml:space="preserve">В соответствии с пунктом 14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Порядка 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t xml:space="preserve">, установленного постановлением</w:t>
      </w:r>
      <w:r>
        <w:rPr>
          <w:szCs w:val="28"/>
        </w:rPr>
        <w:t xml:space="preserve"> Правительства Новосибирской области от ___.05.2025 №___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 Порядке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  <w:t xml:space="preserve">» </w:t>
      </w:r>
      <w:r>
        <w:rPr>
          <w:b/>
          <w:bCs/>
          <w:szCs w:val="28"/>
        </w:rPr>
        <w:t xml:space="preserve">п р и к а </w:t>
      </w:r>
      <w:r>
        <w:rPr>
          <w:b/>
          <w:bCs/>
          <w:szCs w:val="28"/>
        </w:rPr>
        <w:t xml:space="preserve">з ы в а ю</w:t>
      </w:r>
      <w:r>
        <w:rPr>
          <w:b/>
          <w:bCs/>
          <w:szCs w:val="28"/>
        </w:rPr>
        <w:t xml:space="preserve">:</w:t>
      </w:r>
      <w:r>
        <w:rPr>
          <w:b/>
          <w:bCs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szCs w:val="28"/>
          <w:highlight w:val="none"/>
        </w:rPr>
        <w:t xml:space="preserve">1. Создать</w:t>
      </w:r>
      <w:r>
        <w:rPr>
          <w:b/>
          <w:bCs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рабочую группу 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b/>
          <w:bCs/>
          <w:szCs w:val="28"/>
          <w:highlight w:val="none"/>
        </w:rPr>
        <w:t xml:space="preserve"> </w:t>
      </w:r>
      <w:r>
        <w:rPr>
          <w:b w:val="0"/>
          <w:bCs w:val="0"/>
          <w:szCs w:val="28"/>
          <w:highlight w:val="none"/>
        </w:rPr>
        <w:t xml:space="preserve">(далее - рабочая группа).</w:t>
      </w:r>
      <w:r>
        <w:rPr>
          <w:b w:val="0"/>
          <w:bCs w:val="0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szCs w:val="28"/>
          <w:highlight w:val="none"/>
        </w:rPr>
        <w:t xml:space="preserve">2. Утвердить прилагаемые положение и рабочей группе и ее состав.</w:t>
      </w:r>
      <w:r>
        <w:rPr>
          <w:b w:val="0"/>
          <w:bCs w:val="0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highlight w:val="none"/>
          <w14:ligatures w14:val="none"/>
        </w:rPr>
      </w:r>
      <w:r>
        <w:rPr>
          <w:b w:val="0"/>
          <w:bCs w:val="0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</w:r>
    </w:p>
    <w:p>
      <w:pPr>
        <w:ind w:right="284"/>
      </w:pPr>
      <w:r/>
      <w:r/>
    </w:p>
    <w:p>
      <w:pPr>
        <w:ind w:left="-284" w:right="284"/>
      </w:pPr>
      <w:r/>
      <w:r/>
    </w:p>
    <w:p>
      <w:pPr>
        <w:ind w:firstLine="0"/>
      </w:pPr>
      <w:r>
        <w:t xml:space="preserve">Министр</w:t>
      </w:r>
      <w:r>
        <w:t xml:space="preserve">                                                                                                     А</w:t>
      </w:r>
      <w:r>
        <w:t xml:space="preserve">.</w:t>
      </w:r>
      <w:r>
        <w:t xml:space="preserve">А</w:t>
      </w:r>
      <w:r>
        <w:t xml:space="preserve">. </w:t>
      </w:r>
      <w:r>
        <w:t xml:space="preserve">Гончаров</w:t>
      </w:r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left="-284" w:right="284"/>
      </w:pPr>
      <w:r/>
      <w:r/>
    </w:p>
    <w:p>
      <w:pPr>
        <w:ind w:right="284" w:firstLine="0"/>
        <w:rPr>
          <w:sz w:val="20"/>
        </w:rPr>
      </w:pPr>
      <w:r>
        <w:rPr>
          <w:sz w:val="20"/>
        </w:rPr>
        <w:t xml:space="preserve">Данилова И.У.</w:t>
      </w:r>
      <w:r>
        <w:rPr>
          <w:sz w:val="20"/>
        </w:rPr>
      </w:r>
    </w:p>
    <w:p>
      <w:pPr>
        <w:ind w:right="284" w:firstLine="0"/>
        <w:rPr>
          <w:sz w:val="20"/>
          <w:szCs w:val="20"/>
          <w:highlight w:val="none"/>
        </w:rPr>
      </w:pPr>
      <w:r>
        <w:rPr>
          <w:sz w:val="20"/>
        </w:rPr>
        <w:t xml:space="preserve">(383) 238 62 02</w:t>
      </w:r>
      <w:r>
        <w:rPr>
          <w:sz w:val="20"/>
          <w:szCs w:val="20"/>
          <w:highlight w:val="none"/>
        </w:rPr>
      </w:r>
    </w:p>
    <w:p>
      <w:pPr>
        <w:shd w:val="nil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приказом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от___05.2025 №___-НПА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0" w:firstLine="0"/>
        <w:shd w:val="nil" w:color="000000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0" w:right="0" w:firstLine="0"/>
        <w:jc w:val="center"/>
        <w:shd w:val="nil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Положение о рабочей группе </w:t>
      </w:r>
      <w:r>
        <w:rPr>
          <w:sz w:val="20"/>
          <w:szCs w:val="20"/>
          <w:highlight w:val="none"/>
        </w:rPr>
      </w:r>
    </w:p>
    <w:p>
      <w:pPr>
        <w:ind w:left="0" w:right="0" w:firstLine="0"/>
        <w:jc w:val="center"/>
        <w:shd w:val="nil" w:color="000000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sz w:val="20"/>
          <w:szCs w:val="20"/>
        </w:rPr>
      </w:r>
      <w:r/>
    </w:p>
    <w:p>
      <w:pPr>
        <w:ind w:left="5386" w:right="284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Рабочая группа 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рабочая группа) создается в целях организации и проведения предварительной оценки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(далее – проект) для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 (далее – предварительная оценка проектов).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2. Проведение предварительной оценки проектов осуществляется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Порядком проведения предварительной оценки проектов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в целях включения их в заявку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ставления субсидий из федерального бюджета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Федерации, установленным постановлением Правительства Новосибирской области от__.05.2025 № ___ (далее – Порядок).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3. В состав рабочей группы входят руководитель, заместитель руководителя, секретарь и члены рабочей группы.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4. Руков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одитель рабочей группы руководит деятельностью рабочей группы и несет ответственность за выполнение возложенных на нее полномочий. В период временного отсутствия руководителя рабочей группы его обязанности исполняет заместитель руководителя рабочей группы.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 Заседание рабочей группы проводится не позднее 20 рабочих дней со дня окончания приема заявок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предварительную оценку проектов.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Секретарь рабочей группы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не позднее чем за один рабочий день до даты заседания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рабочей группы направляет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членам рабочей группы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в электронной форме на адрес электронной почты члена рабочей группы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повестку заседания рабочей группы и материалы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 повестке заседания рабочей группы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 Заседание рабочей группы правомочно в случае участия в заседании не менее половины ее состава.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8. Заседания рабочей группы могут проводиться в очном и заочном формате. При проведении заседания в заочном формате члены рабочей группы направляют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мнение по вопросам повестки заседания рабочей группы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в электронной форме на адрес электронной почты секретаря рабочей группы.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9. В случае возникновения прямой или косвенной личной заинтересованности члена рабочей группы, котор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ая может привести к конфликту интересов при рассмот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рении вопроса, включенного в повестку заседания рабочей группы, он обязан до начала заседания заявить об этом. В указанном случае член рабочей группы не принимает участия в рассмотрении указанного вопроса.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 Рабочая группа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рассматривает заявки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управляющих компаний индустриального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промышленного) парка, агропромышленного парка, бизнес-парка, технопарка, промышленного технопарка (далее - управляющая компания),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представленные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участия в предварительной оценке проектов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пунктом 6 Порядка (далее – заявки),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также приложенные к заявкам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окументы, обосновывающие целесообразность создания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</w:t>
      </w:r>
      <w:r>
        <w:t xml:space="preserve"> (далее - документы).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8"/>
          <w:szCs w:val="1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highlight w:val="none"/>
        </w:rPr>
      </w:pPr>
      <w:r>
        <w:rPr>
          <w:highlight w:val="none"/>
        </w:rPr>
        <w:t xml:space="preserve">11. В рамках проведения предварительной оценки проектов рабочая группа:</w:t>
      </w:r>
      <w:r>
        <w:rPr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проверяет соответствие заявки и документов требованиям, определенным пунктами 6, 7 Порядка, в том числе полноту представленных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highlight w:val="none"/>
        </w:rPr>
        <w:t xml:space="preserve">2) проверяет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управляющие компании на соответствие требованиям, указанным в пункте 12 Порядка,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3) проверяет проекты на соответствие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требованиям, предъявляемым к проектам при проведении предварительной оценки проектов в соответствии с пунктом 13 Порядка,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8"/>
          <w:szCs w:val="1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12. В процессе рассмотрения заявок члены рабочей группы вправе: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1) приглашать на свои заседа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ния представителей управляющей компании, задавать им вопросы;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запрашивать и получать пояснения (разъяснения, комментарии) от управляющей компании по представленным документам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письменной форме;</w:t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3) запрашивать и получать дополнительные сведения (документы), подтверждающие достоверность информации, представленной в заявке и документах, в установленном порядке из других источников;</w:t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проводить визуальный осмотр парка с целью подтверждения достоверности представленной в документах информации.</w:t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5) при возникновении в процессе рассмотрения заявки вопросов, требующих специальных знаний, приглашать на заседания рабочей группы экспертов, специалистов, иных заинтересованных лиц для разъяснения данных вопросов.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2"/>
          <w:szCs w:val="22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13. По итогам рассмотрения заявок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и документов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рабочая группа принимает одно из следу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ющих решений: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включ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ении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заявку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участие в отборе субъектов 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ссийской Федерации для предоставления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заявка Новосибирской области)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об отказе во включении проекта в заявку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основаниям, указанным в пункте 23 Поряд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14. Решени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рабочей группы принимаются по итогам общего голосования простым большинством голосов присутствующих на заседании членов рабочей группы.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 равенстве голосов членов рабочей группы голос председательствующего на заседании рабочей группы является решающим.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течение пяти рабочих дней со дня проведения заседания рабочей группы секретарь рабочей группы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оформляет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протокол с решением рабочей группы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результатах проведения предварительной оценки прое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Протокол подписывается руководителем рабочей группы (в случае его отсутствия - заместителем руководителя) и всеми присутствовавшими на заседании членами рабочей группы.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протокол могут включаться предложения рабочей группы по доработке проектов перед включением в заявку Новосибирской области.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пяти рабочих дней со дня подписания протокола письменно уведомляет о результатах предварительной оценки проектов все управляющие компании, представившие заявки, по адресу, указанному в заявке (в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 - при наличии в заявке информации об электронном адресе управляющей компании).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уведомлении о принятом решении об отказе во включении проекта в заявку Новосибирской области указываются основания принятия такого решения.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В течение пя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рабочих дней со дня подписания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 размещается Министерством на официальном сайте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приказом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284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от___05.2025 №___-НПА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244" w:right="0" w:firstLine="142"/>
        <w:jc w:val="left"/>
        <w:spacing w:after="0" w:line="240" w:lineRule="auto"/>
        <w:tabs>
          <w:tab w:val="left" w:pos="59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284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Состав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рабочей группы </w:t>
      </w:r>
      <w:r>
        <w:rPr>
          <w:sz w:val="28"/>
          <w:szCs w:val="28"/>
        </w:rPr>
      </w:r>
    </w:p>
    <w:p>
      <w:pPr>
        <w:ind w:left="0" w:right="284" w:firstLine="0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b/>
          <w:bCs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8"/>
        <w:gridCol w:w="283"/>
        <w:gridCol w:w="6662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Гончаров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_1463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Андрей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промышленности, торговли и развития предпринимательства Новосибирской области, руководитель рабочей группы;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Рягузов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Денис Евгеньевич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заместитель руководителя рабочей группы;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0"/>
            </w:pPr>
            <w:r>
              <w:t xml:space="preserve">Данилова </w:t>
            </w:r>
            <w:r/>
          </w:p>
          <w:p>
            <w:pPr>
              <w:ind w:firstLine="0"/>
            </w:pPr>
            <w:r>
              <w:t xml:space="preserve">Ирина Ураловна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секретарь рабочей группы;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Амосова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Анна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управления -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представитель министерства экономического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представитель министерства жилищно-коммунального хозяйства и энергетики Новосибирской области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представитель министерства строительства Новосибирской области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представитель министерства транспорта и дорожного хозяйства Новосибирской области (по согласованию);</w:t>
            </w:r>
            <w:r/>
            <w:r/>
            <w:r/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1_146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представитель департамента имущества и земельных отношений Новосибирской области (по согласованию).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ind w:left="0" w:right="284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7" w:h="16840" w:orient="portrait"/>
      <w:pgMar w:top="1134" w:right="567" w:bottom="850" w:left="1417" w:header="567" w:footer="2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Baltica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ind w:left="0" w:right="0" w:firstLine="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663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7"/>
    <w:link w:val="65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7"/>
    <w:link w:val="662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7"/>
    <w:link w:val="663"/>
    <w:uiPriority w:val="99"/>
  </w:style>
  <w:style w:type="character" w:styleId="45">
    <w:name w:val="Footer Char"/>
    <w:basedOn w:val="657"/>
    <w:link w:val="66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ind w:firstLine="709"/>
      <w:jc w:val="both"/>
      <w:widowControl w:val="off"/>
    </w:pPr>
    <w:rPr>
      <w:sz w:val="28"/>
      <w:szCs w:val="28"/>
    </w:rPr>
  </w:style>
  <w:style w:type="paragraph" w:styleId="656">
    <w:name w:val="Heading 2"/>
    <w:basedOn w:val="655"/>
    <w:next w:val="655"/>
    <w:qFormat/>
    <w:pPr>
      <w:spacing w:before="120" w:after="120"/>
      <w:outlineLvl w:val="1"/>
    </w:p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character" w:styleId="660" w:customStyle="1">
    <w:name w:val="Основной шрифт"/>
  </w:style>
  <w:style w:type="paragraph" w:styleId="661" w:customStyle="1">
    <w:name w:val="Eiio"/>
    <w:basedOn w:val="655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662">
    <w:name w:val="Title"/>
    <w:basedOn w:val="655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663">
    <w:name w:val="Header"/>
    <w:basedOn w:val="655"/>
    <w:pPr>
      <w:tabs>
        <w:tab w:val="center" w:pos="4536" w:leader="none"/>
        <w:tab w:val="right" w:pos="9072" w:leader="none"/>
      </w:tabs>
    </w:pPr>
  </w:style>
  <w:style w:type="paragraph" w:styleId="664">
    <w:name w:val="Footer"/>
    <w:basedOn w:val="655"/>
    <w:link w:val="669"/>
    <w:pPr>
      <w:tabs>
        <w:tab w:val="center" w:pos="4536" w:leader="none"/>
        <w:tab w:val="right" w:pos="9072" w:leader="none"/>
      </w:tabs>
    </w:pPr>
  </w:style>
  <w:style w:type="paragraph" w:styleId="665">
    <w:name w:val="Body Text Indent"/>
    <w:basedOn w:val="655"/>
    <w:link w:val="670"/>
    <w:pPr>
      <w:ind w:firstLine="567"/>
      <w:jc w:val="left"/>
      <w:widowControl/>
    </w:pPr>
    <w:rPr>
      <w:szCs w:val="20"/>
    </w:rPr>
  </w:style>
  <w:style w:type="paragraph" w:styleId="666">
    <w:name w:val="Body Text Indent 2"/>
    <w:basedOn w:val="655"/>
    <w:pPr>
      <w:ind w:firstLine="851"/>
      <w:widowControl/>
    </w:pPr>
    <w:rPr>
      <w:szCs w:val="20"/>
    </w:rPr>
  </w:style>
  <w:style w:type="paragraph" w:styleId="667">
    <w:name w:val="Balloon Text"/>
    <w:basedOn w:val="655"/>
    <w:semiHidden/>
    <w:rPr>
      <w:rFonts w:ascii="Tahoma" w:hAnsi="Tahoma" w:cs="Tahoma"/>
      <w:sz w:val="16"/>
      <w:szCs w:val="16"/>
    </w:rPr>
  </w:style>
  <w:style w:type="paragraph" w:styleId="668" w:customStyle="1">
    <w:name w:val="ConsPlusNonformat"/>
    <w:rPr>
      <w:rFonts w:ascii="Courier New" w:hAnsi="Courier New" w:cs="Courier New"/>
    </w:rPr>
  </w:style>
  <w:style w:type="character" w:styleId="669" w:customStyle="1">
    <w:name w:val="Нижний колонтитул Знак"/>
    <w:link w:val="664"/>
    <w:rPr>
      <w:sz w:val="28"/>
      <w:szCs w:val="28"/>
    </w:rPr>
  </w:style>
  <w:style w:type="character" w:styleId="670" w:customStyle="1">
    <w:name w:val="Основной текст с отступом Знак"/>
    <w:link w:val="665"/>
    <w:rPr>
      <w:sz w:val="28"/>
    </w:rPr>
  </w:style>
  <w:style w:type="paragraph" w:styleId="671" w:customStyle="1">
    <w:name w:val="ConsPlusTitle"/>
    <w:pPr>
      <w:widowControl w:val="off"/>
    </w:pPr>
    <w:rPr>
      <w:b/>
      <w:sz w:val="28"/>
    </w:rPr>
  </w:style>
  <w:style w:type="table" w:styleId="672">
    <w:name w:val="Table Grid"/>
    <w:basedOn w:val="65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146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2EC81E-A8D7-4D5F-B18B-06B999E8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Копылова Г.В.</dc:creator>
  <cp:revision>30</cp:revision>
  <dcterms:created xsi:type="dcterms:W3CDTF">2023-09-18T09:57:00Z</dcterms:created>
  <dcterms:modified xsi:type="dcterms:W3CDTF">2025-04-30T08:37:42Z</dcterms:modified>
</cp:coreProperties>
</file>