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 постановлению Правительства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_____________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Порядок проведения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предварительной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участие в отборе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Настоящий Порядок определяет процедуру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проведения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предварительной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целях создания и (или) развития производственных и инновационных компаний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(далее - проект) на соответствие критериям оценки, предусмотренным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приложением № 48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«Правила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государствен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ную поддержку малого и среднего предпринимательства в субъектах Российской Федерации»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Федерации от 15.04.2014 № 316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 утверждении государственной программы российской Федерации «Э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кономическое развитие и инновационная экономика» (далее - Правила), для включения в заявку Новосибирской области  на участие в отборе субъектов Российской Федерации для предоставления субсидий  из федерального бюджет 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(далее – предварительная оценка проектов).</w:t>
      </w: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Arial" w:hAnsi="Arial" w:eastAsia="Arial" w:cs="Arial"/>
          <w:b w:val="0"/>
          <w:bCs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2. 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онятия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«проект»,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бизнес-парк»,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резидент (потенциальный резидент)</w:t>
      </w:r>
      <w:r>
        <w:rPr>
          <w:color w:val="000000" w:themeColor="text1"/>
        </w:rPr>
        <w:t xml:space="preserve">»,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технопарк»,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индустриальный (промышленный) парк»,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промышленный технопарк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», «управляющая компания», используемые в настоящем Порядке, применяются в том же значении, в каком они используются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Правилах.</w:t>
      </w:r>
      <w:r>
        <w:rPr>
          <w:rFonts w:ascii="Arial" w:hAnsi="Arial" w:eastAsia="Arial" w:cs="Arial"/>
          <w:b w:val="0"/>
          <w:i w:val="0"/>
          <w:strike w:val="0"/>
          <w:color w:val="000000" w:themeColor="text1"/>
          <w:sz w:val="18"/>
          <w:szCs w:val="18"/>
        </w:rPr>
      </w:r>
      <w:r>
        <w:rPr>
          <w:color w:val="000000" w:themeColor="text1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 Организатором предварительной оценки проектов является министерство промышленности, торговли и развития предпринимательства Новосибирской области (далее – Министерство),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которое распоряжением Правительства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22.12.2020 № 595-рп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определено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взаимодействие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Министерством экономического развития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 реализации мероприятий государственной поддержки малого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среднего предпринимательства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4. Министерство не позднее дня, предшествующего дню начала приема заявок на предварительную оценку проектов, размещает на официальном сайте Министерства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в информационно-телекоммуникационной сети «Интернет»  извещение о проведении предварительной оценки проектов, содержащее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наименование, местонахождение, почтовый адрес, контактные данные (телефон, адрес электронной почты) Министерства;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дата и время начала и окончания приема заявок;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перечень документов, представляемых  для участия в предварительной оценке проектов;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порядок подачи заявки, требования к форме и содержанию заявки;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порядок отзыва заявки;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порядок рассмотрения и оценки заявки;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срок подведения итогов предварительной оценки проектов;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дата размещения информации о результатах предварительной оценки проектов на сайте Министерства.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5. Прием заявок осуществляется Министерством в течение не менее 5 рабочих дней со дня начала приема заявок, указанного в извещении.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6. Для участия в предварительной оценке проектов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управляющая компания индустриального (промышленного) парка, агропромышленного парка, бизнес-парка, технопарка, промышленного технопарка (далее - управляющая компания) представляет в Министерство заявку на участие в предварительной оценке проектов по форме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согласно приложению № 1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Порядку (далее - заявка).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 заявке должна быть приложена документация, обосновывающая целесообразность создания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, перечень которой определен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приложением № 2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к Порядку (далее – документация).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7. Заявка и документация представляются в Министерство на бумажном носителе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с сопроводительным письмом (в двух экземплярах), подписанным руководителем управляющей компании (с заверенной копией решения о назначении или об избрании). В случае подписания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сопроводительного письма представителем также представляется доверенность на осуществление действий, подписанная руководителем управляющей компании и заверенная печатью  (при наличии), либо нотариально удостоверенная копия такой доверенности.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Заявка и документация должны быть пронумерованы, прошиты и скреплены подписью руководителя управляющей компании и печатью  (при наличии), а также содержать оглавление с указанием документов и соответствующих им номеров страниц.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Первой подшивается заявка.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8. 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Управляющая компания имеет право отозвать поданную заявку до истечения установленного срока приема заявок, указанного в извещении, направив в Министерство официальное письменное уведомление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9. Внесение изменений в заявку и документацию допускается путем отзыва ранее поданной заявки и направления новой заявки в пределах установленного срока приема заявок.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10. Представленные заявка и документация возврату не подлежат.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11. Заявки, поданные по истечении указанного в извещении срока приема заявок, не принимаются и не рассматриваются.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12. Управляющая компания на дату подачи заявки должна соответствовать следующим требованиям: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1) управляющей компанией является юридическое лицо, действующее в форме хозяйственного общества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(или автономной некоммерческой организации в случае агропромышленного парка);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2) управляющая компания зарегистрирована и осуществляет в соответствии со своими учредительными документами деятельность на территории Новосибирской области;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Российская Федерация, субъект Российской Федерации и (или) муниципальное образование не участвуют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уставном капитале управляющей компании-хозяйственного общества или не являются учредителем управляющей компании-некоммерческой организации;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4) управляющая компани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я распоряжается на праве собственности или на ином законном основании земельными участками, составляющими территорию парка, и (или) зданиями, строениями и (или) их частями, расположенными на территории парка, и (или) объектами промышленной инфраструктуры 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технологической инфраструктуры парка, за исключением земельных участков, зданий, строений и (или) их частей, а также объектов транспортной и коммунальной инфраструктуры, принадлежащих на праве собственности или на ином законном основании резидентам парка.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5) в отношении управляющей компании не введена процедура банкротства, деятельность управляющей компании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6) управляющая компания не находится в процессе реорганизации (за исключением реорганизации в форме присоединения к управляющей компании другого юридического лица), ликвидации, в отношении управляющей 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мпании не введена процедура банкротства, деятельность управляющей компании не приостановлена в порядке, предусмотренном законодательством Российской Федерации;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7) управляющая 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пания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включенная в утверждё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в совокупности превышает 50 процентов;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8) в реестре дисквалифицированных лиц отсутствуют сведения о дисквалиф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управляющей компании;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9) управляющая компания не должна находиться в перечне организаций и физичес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ия.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13. Требования, предъявляемые к проектам при проведении предварительной оценки проектов: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1) доля подтвержденного внебюджетного (частного) софинансирования проекта по созданию и (или) развитию парка в его общей стоимости - не менее 30 процентов;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2) количество резидентов (потенциальных резидентов), размещенных (планирующихся к размещению) на 10-й год со дня ввода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 в эксплуатацию, - не менее 12 единиц;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3) технологическое присоединение (подключение)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 к объектам электро-, газо-, тепло-, водоснабжения, водоотведения и линиям связи;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4) доступность транспортной инфраструктуры (технологического комплекса, обеспечивающего функционирование объектов транспортной сети или путей сообщения (дорог, железнодорожных путей, воздушных коридоров, водных путей, мостов, тоннелей, автомобильных останов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ок, железнодорожных станций, аэропортов, портов);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5) наличие документально подтвержденного взаимодействия резидентов (потенциальных резидентов)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между собой;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6)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 реализации проекта не превышает двух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лет;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yellow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7)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площадь индустриального (промышленного) парка, агропромышленного парка,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созданного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ранее не застроенном земельном участке (участках), не обеспеч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енном инженерной инфраструктурой (комплекс зданий, сооружений, объектов водоснабжения, водоотведения, газоснабжения, телекоммуникаций, теплоснабжения и электроснабжения, обеспечивающий функционирование парка, его резидентов и пользователей инфраструктуры)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транспортной инфраструктурой (технологический комплекс, обеспе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чивающий функционирование объектов транспортной сети или путей сообщения (дорог, железнодорожных путей, воздушных коридоров, водных путей, мостов, тоннелей, автомобильных остановок, железнодорожных станций, аэропортов, портов), должна составлять не менее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0 000 кв. метров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территории земельного участка;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Площадь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индустриального (промышленного) парка, агропромышленного парка,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созданного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основе ране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существовавших производственных площадок, промышленных и производственных объектов, обеспеченных инженерной и транспортной инфраструктурой, должна составлять не менее 20 000 кв. метров производственных площадей, предназначенных для размещения резидентов;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8) площадь помещений технопарка, промышленного технопарка должна составлять не менее 5 000 кв. метров, а площадь территории земельного участка – не менее 10 000 кв.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етров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Плотность застройки терри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тории технопарка, промышленного технопарка, определяемая как отношение площади всех этажей зданий и сооружений технопарка, промышленного технопарка к общей площади территории технопарка, промышленного технопарка, должная составлять не менее 2 000 кв. м/га.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Не менее 70% арендопригодных площадей технопарка, промышленного технопарка должны быть предназначены для резидентов, осуществляющих деятельность, относящуюся к обрабатывающему производству, или нау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чным исследованиям и разработкам, или техническим испытаниям, исследованиям, анализу и сертификации, или деятельности в области информации и связи, разработки компьютерного программного обеспечения, или профессиональной, научной и технической деятельности;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9) площадь бизнес-парка, созданного на ранее не застроенном земельном участке (участках), не обеспеченном инженерной инфраструктурой (комплекс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зданий, сооружений, объектов водоснабжения, водоотведения, газоснаб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жения, телекоммуникаций, теплоснабжения и электроснабжения, обеспечивающий функционирование парка, его резидентов и пользователей инфраструктуры) и транспортной инфраструктуры (технологический комплекс, обеспечивающий функционирование объектов транспортной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сети или путей сообщения (дорог, железнодорожных путей, воздушных коридоров, водных путей, мостов, тоннелей, автомобильных остановок, железнодорожных станций, аэропортов, портов), должна составлять не более 80 000 кв. метров территории земельного участка.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Площадь бизнес-парка, созданного на основе ранее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существовавших производственных площадок, промышленных и производственных объектов, обеспеченных инженерной и транспортной инфраструктурой, должна составлять не более 20 000 кв. метров производственных площадей, предназначенных для разм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ещения резидентов;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10)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реализации проекта не планируются расходы, совпадающие по форме, срокам и виду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расходами, осуществленными субъектом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Правилами отбора субъектов Российской Федерации, имеющих право на получение государственной поддержки в форме субсидий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из федерального бюджета бюджетам субъектов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на возмещение части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трат на создание, модернизацию и (или) реконструкцию объектов инфраструктуры индустриальных парков, промышленных технопарков, технопарков в сфере высоких технологий, особых экономических зон, утвержденными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30.10.2014 № 1119, и (или) Правилами предоставления субсидий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 федерального бюджета российским организациям – управляющим компаниям индустриальных (промышленных) парков и (или) промышленных технопарков на возмещение части затрат на уплату процентов по кредитам, полученным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российских кредитных организациях и государственной корпорации «ВЭБ.РФ» в 2020 - 2022 годах на реализацию инвестиционных проектов создания, расширения или развития индустриальных (промышленных) парков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  <w:t xml:space="preserve">и (или) про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мышленных технопарков, утвержденными постановлением Правительства Российской Федерации от 11.08.2015 № 831, а также Правилами предоставления субсидий из федерального бюджета бюджетам субъектов Российской Федерации в целях софинансирования расходных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 реиндустриализацию индустриальных (промышленных) парков, промышленных технопарков, технопарков в сфере высоких технологий, приведенными в приложении № 18 к государственной программе Российской Федерации «Развитие промышленности и повышение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ее конкурентоспособности», утвержденной постановлением Правительства Российской Федерации от 15.04.2014 № 328.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Несоответствие требованиям, указанным в подпунктах 3-5 настоящего пункта, не является основанием для принятия решения об отказе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во включ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ении проекта в заявку Новосибирской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на участие в отборе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(далее – заявка Новосибирской области).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14. 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В целях осуществления предварительной оценки проектов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создается рабочая группа по проведению предв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арительной оценки проектов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(далее - рабочая группа), состав которой утверждается приказом Министерства.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15. В состав рабочей группы включаются представители Министерства, по согласованию представители исполнительных органов Новосибирской области и иных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органов государственной власти Новосибирской области, а также могут быть включены представители кредитных, научных, образовательных, юридических, консультационных, консалтинговых, аудиторских, ревизионных и общественных организаций.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16. В состав рабочей группы входят руководитель, заместитель руководителя, секретарь и члены рабочей группы.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Руков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одитель рабочей группы руководит деятельностью рабочей группы и несет ответственность за выполнение возложенных на нее полномочий. В период временного отсутствия руководителя рабочей группы его обязанности исполняет заместитель руководителя рабочей группы.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Секретарь рабочей группы организует подготовку материалов по повестке дня заседания рабочей группы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и направление их членам рабочей группы,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оформление протокола заседания рабочей группы.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17. Заседание рабочей группы правомочно в случае участия в заседании не менее половины ее состава.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18. В случае возникновения прямой или косвенной личной заинтересованности члена рабочей группы, котор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ая может привести к конфликту интересов при рассмот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рении вопроса, включенного в повестку заседания рабочей группы, он обязан до начала заседания заявить об этом. В указанном случае член рабочей группы не принимает участия в рассмотрении указанного вопроса.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19. Заседание рабочей группы проводится не позднее 20 рабочих дней со дня окончания приема заявок.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18"/>
          <w:szCs w:val="1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20. Члены рабочей группы проверяют управляющие компании на соответствие требованиям, указанным в пункте 12 Порядка, проекты на соответствие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 требованиям, предъявляемым к проектам при проведении предварительной оценки проектов в соответствии с пунктом 13 Порядка,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 также проверяют полноту, правильность заполнения заявки, ее достоверность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21. В процессе рассмотрения заявок члены рабочей группы вправе: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1) приглашать на свои заседа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ния представителей управляющей компании, задавать им вопросы.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2) запрашивать и получать пояснения (разъяснения, комментарии) от управляющей компании по представленным документам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письменной форме;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3) запрашивать и получать дополнительные сведения, документы, подтверждающие достоверность информации, представленной в заявке и документации, в установленном порядке из других источников;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4)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проводить визуальный осмотр парка с целью подтверждения достоверности представленной в документах информации.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5) при возникновении в процессе рассмотрения заявки вопросов, требующих специальных знаний, приглашать на заседания рабочей группы экспертов, специалистов, иных заинтересованных лиц для разъяснения данных вопросов.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22. По итогам рассмотрения заявок рабочая группа принимает одно из следу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ющих решений: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включ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ении проекта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 заявку Новосибирской области;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 об отказе во включении проекта в заявку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 основаниям, указанным в пункте 23 Поряд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ка.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Arial" w:hAnsi="Arial" w:eastAsia="Arial" w:cs="Arial"/>
          <w:b w:val="0"/>
          <w:i w:val="0"/>
          <w:strike w:val="0"/>
          <w:sz w:val="18"/>
          <w:szCs w:val="18"/>
          <w:highlight w:val="none"/>
        </w:rPr>
        <w:t xml:space="preserve"> </w:t>
        <w:tab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23</w:t>
      </w:r>
      <w:r>
        <w:rPr>
          <w:rFonts w:ascii="Arial" w:hAnsi="Arial" w:eastAsia="Arial" w:cs="Arial"/>
          <w:b w:val="0"/>
          <w:i w:val="0"/>
          <w:strike w:val="0"/>
          <w:sz w:val="18"/>
          <w:szCs w:val="18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Основаниями для принятия решения об отказе во включении проекта в заявку Новосибирской области  являются: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1) несоответствие управляющей компании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требованиям, установленным пунктом 12 Порядка;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2) несоответствие проекта требованиям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, предъявляемым к проектам при проведении предварительной оценки проектов, установленным пунктом 13 Порядка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, за исключением требований, указанных в подпунктах 3-5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3) несоответствие заявки и документации требованиям, определенным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пунктами 6 , 7 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4) установление факта недостоверности представленной управляющей компанией информации.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24. Решени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я рабочей группы принимаются по итогам общего голосования простым большинством голосов присутствующих на заседании членов рабочей группы. При равенстве голосов членов рабочей группы голос председательствующего на заседании рабочей группы является решающим.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25. Решение рабочей группы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 результатах проведения предварительной оценки проектов в течение пяти рабочих дней со дня проведения заседания рабочей группы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оформляется протоколом заседания рабочей группы (далее – протокол).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Протокол подписывается руководителем рабочей группы (в случае его отсутствия заместителем руководителя) и всеми присутствовавшими на заседании членами рабочей группы.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26. Министерство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течение пяти рабочих дней со дня подписания протокола письменно уведомляет о результатах пре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дварительной оценки проектов все управляющие компании, представившие заявки,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адресу, указанному в заявке (в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электронной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форме - при наличии в заявке информации об электронном адресе управляющей компании).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В уведомлении о принятом решении об отказе во включении проекта в заявку Новосибирской области указываются основания принятия такого решения.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27. В течение пяти рабочих дней со дня подписания  протокол размещается Министерством на официальном сайте Министерства.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28. В случае если на участие в предварительной оценке проектов не подано ни одной заявки, она признается несостоявшейся.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29. 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истерство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включает в заявку Новосибирской области все проекты, по которым рабочей группой принято решение о включении в заявку Новосибирской области.</w:t>
      </w:r>
      <w:r>
        <w:rPr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30. 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В случае успешного прохождения заявкой Новосибирской области отбора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между управляющей компанией и Министерством до конца текущего  года заключается соглашение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 реализации проекта и (или) развитии парка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включающее в себя плановые показатели доли внебюджетного (частного) софинансирования в общей стоимости проекта по созданию и (или) развитию парка, процента заполнения площади объекта резидентами на 1 января каждого года реализации федерального проекта «Малое и среднее предпринимательство и поддержка индивидуальной предпринимательской инициативы», и ин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ые показатели, а также календарный график выполнения работ и финансирования.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2025-04-11T02:43:50Z</dcterms:modified>
</cp:coreProperties>
</file>