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 № 15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31.01.2017 № 14-п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I. Общие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Настоящий Порядок предоставления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(далее - Порядок) разработан в соответстви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со статьей 78 Бюджетного кодекса Российской Федерации, частью 3 статьи 16 Федерального закона от 24.07.2007 № 209-ФЗ «О развитии малого и среднего предпринимательства в Российской Федерации», постановлением Правительства Российской Федерации от 25.10.202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регламентирует предоставление  из областного бюджета Новосибирск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области (далее - областной бюджет)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твенность, в рамках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 - субсидии).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Понятия, используемые в целях настоящего Порядка, означают следующее: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«получатель субсидии» - российская кредитная организация,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предоставляющая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заемщикам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кредиты под залог прав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интеллектуальную собственность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использованием поручительства Фонда развития малого и среднего предпринимательства (далее – Фонд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соответствующая требованиям, установленным пунктом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12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«заемщик» - юридическое лицо или индивидуальный предприниматель,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 о которо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внесены в единый реестр субъектов малого или среднего предпринимательства, зарегистрированный на территории Новосибирской области, обладающий правами на интеллектуальную собственность и заключивший кредитный договор (соглашение) с получателем субсидии с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использованием поручительства Фонда </w:t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 залог прав на интеллектуальную собственность;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«интеллектуальная собственность» –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(произведения наук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и, программы для электронных вычислительных машин (программы для ЭВМ), базы данных, топологии интегральных микросхем, изобретения, промышленные образцы, полезные модели, селекционные достижения, секреты производства (ноу-хау), исполнения, фонограммы, сообщ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ение в эфир или по кабелю радио- или телепередач (вещание организаций эфирного или кабельного вещания), фирменные наименования, товарные знаки и знаки обслуживания, географические указания, наименования мест происхождения товаров, коммерческие обозначения)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зарегистрированные в федеральном органе исполнительной власти по интеллектуальной собственности и (или) имеющие фиксацию прав в сети РЦИС.РФ, которые используются в деятельности заемщика и исключительные права на которые единолично принадлежат заемщику;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«кредитный договор (соглашение)» - кредитный договор (соглашение), по которому получатель субсидии предоставляет заемщику в год предоставления субсидии кредит с использованием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ручительства Фонда под залог прав на интеллектуальную собственность в размере до 50 млн рублей по ставке, не превышающей размер ключевой ставки на дату выдачи кредита, уменьшенной на 6 процентов, без возможности одностороннего изменения ставки получателем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субсидии, на цели приобретения основных средств (з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исключением объектов недвижимого имущества) и (или) пополнения оборотных средств. Кредит на пополнение оборотных средств не может направляться на финансирование затрат, связанных с уплатой налогов, сборов и иных обязательных платежей в бюджеты бюджетной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системы Российской Федерации и бюджеты государственных внебюджетных фондов, выплатой заработной платы,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«реестр заемщиков» - сформированный получателем субсидии по форме согласно приложению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 Порядку реестр заемщиков, заключивших кредитные договоры (соглашения) в году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/>
          <w:sz w:val="28"/>
          <w:szCs w:val="28"/>
          <w:highlight w:val="none"/>
        </w:rPr>
        <w:t xml:space="preserve">Цель предоставления субсидий - оказание  поддержки заемщикам в форме предоставления кредитов по льготной ставке в рамках развития </w:t>
      </w:r>
      <w:r>
        <w:rPr>
          <w:rFonts w:ascii="Times New Roman" w:hAnsi="Times New Roman"/>
          <w:sz w:val="28"/>
          <w:szCs w:val="28"/>
          <w:highlight w:val="none"/>
        </w:rPr>
        <w:t xml:space="preserve">в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института кредитования под залог прав на интеллектуальную собственность.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Субсидии предоставляются министерством промышленности, торговли и развития предпринимательства Новоси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бирской области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Субсидии предоставляются в пределах лимитов бюджетных обязательств, утвержденных на 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еализацию соответствующего мероприятия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Способом предоставления субсиди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является возмещение части недополученных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получателями субсиди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й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доходов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Определение получателей субсидии осуществляется по результатам отбора путем запроса предложений, организатором которого является Министерство (далее - отбор).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 Проведение отбора осуществляется в соответствии с Правилами отбора получателей субсидий, в том числе грантов в фо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рации от 25.10.2023 № 1781 (далее – Правила отбора).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II. Условия и порядок предоставления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Субсидии предоставляются российским кредитным организациям, отбираемым исходя из следующих критериев отбора: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наличие 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кредитной организации на территории Новосибирской области внутренних структурных подразделений - дополнительных офисов, кредитно-кассовых офисов, операционных офисов или удаленных рабочих мест;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наличие заключенного соглашения о сотрудничестве между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кредитной организацией и Фондом.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отбора подают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участие в отборе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соответствии с разделом V Правил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заявка).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заявке в ГИИС «Электронный бюджет» прилагаются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следующие документы </w:t>
      </w:r>
      <w:r>
        <w:rPr>
          <w:rStyle w:val="874"/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в виде электронных копий</w:t>
      </w:r>
      <w:r>
        <w:rPr>
          <w:rStyle w:val="874"/>
          <w:sz w:val="28"/>
          <w:szCs w:val="28"/>
          <w:highlight w:val="none"/>
          <w:vertAlign w:val="baseline"/>
        </w:rPr>
        <w:t xml:space="preserve"> </w:t>
      </w:r>
      <w:r>
        <w:rPr>
          <w:rStyle w:val="874"/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об объеме кредитов, планируемых к выдаче по льготной ставке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субъектам малого среднего предпринимательства под залог прав на интеллектуальную собственность,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форме, установленной приложением 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 Порядку (далее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соглашение о сотрудничестве с Фондом;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документы, указанные в пункт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ядка (при наличии на дату подачи заявки).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74"/>
          <w:rFonts w:ascii="Times New Roman" w:hAnsi="Times New Roman" w:cs="Times New Roman"/>
          <w:sz w:val="20"/>
          <w:szCs w:val="20"/>
          <w:highlight w:val="none"/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 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предоставляются при соответствии участника отбора на дату рассмотрения заявки следующим требованиям: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не является иностранным юридическим лицом, в том числе 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не получает средства из областного бюджета Новосибирской области на основании иных нормативных правовых актов Новосибирской области на цели, установленные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соответствует критериям отбора, установленным пунктом 10 Порядка.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 Проверка участника отбора на соответствие требованиям, указанным в пункте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Порядка, осуществляется в срок не позднее десяти рабочих дней после подписания протокола вскрытия заявок в соответствии с Правилами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проверке получателя субсидии на соответствие требованиям, указанным в пункте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Порядка, Министерство использует информацию (сведения), указанную в заявке, опубликованную в информационно-телекоммуникаци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онной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 Основаниями для отказа в предоставлении субсидии являются: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требованиям, указанным в пункте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несоответствие представленных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участником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документов требованиям, определенным 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 Порядка, или непредставление (представление не в полном объеме) указанных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участником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 Министерство заключает с получателями субсидии соглашения о предоставлении субсидии (далее - соглашение) в течение 5 рабочих дней со дня подписания протокола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ведения итогов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Соглашения (дополнительные соглашения к соглашениям) заключаются в ГИИС «Электронный бюджет»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типовой формой соглашения, 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 80-НПА).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 В соглашениях в том числе должны содержаться: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значение результата предоставления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размер субсидии;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направления недополученных доходов, на возмещение которых предоставляется субсидия;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словие о согласовании новых условий соглашения или о расторжении соглашения при недостижении согла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17. При реорганизации получателя су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получателя субсидии в форме разделения, выделения (за исключением случая, указанного в абзаце третьем настоящего пункта), а также при ликвидации получателя субсидии соглашение расторгается с формир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дены ограничительные меры, в форме выделения в соответствии со статьей 8 Федерального закона от 14.07.2022 № 292-ФЗ «О внесении изменений в отдельные законодательные акты Российской Федерации, признании утратившим силу абзаца шестого части первой статьи 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Закона Российской Федерации «О государственной тайне», приостановлении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 в случае если по результатам такой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 реорганизации права и обязанности по соглашению сохраняются за получателем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18. Устанавливается следующий результат предоставления субсидии: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объем кредитов, выданных получателем субсидии заемщикам на условиях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Порядка, по состоянию на дату достижения результата предоставления субсидии, указанную в соглашении.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Значение результата предоставления субсидии устанавливается в следующем размере: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 указанном в строке «Итого» графика предоставления кредитов,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если фактический размер субсидии определен в соответствии с подпунктом 1 пункта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 пропорциональном указанному в строке «Итого» графика предоставления кредитов,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случае если фактический размер субсидии определен в соответствии с подпунктом 2 пункта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19. Предельный размер субсидии рассчитывается по формуле: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 = </w:t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naryPr>
          <m:sub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j=1</m:t>
            </m:r>
          </m:sub>
          <m:sup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12</m:t>
            </m:r>
          </m:sup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 Kj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 х 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S </m:t>
            </m:r>
            <m:r>
              <w:rPr>
                <w:rFonts w:ascii="Cambria Math" w:hAnsi="Cambria Math" w:eastAsia="Cambria Math" w:cs="Cambria Math"/>
                <w:highlight w:val="none"/>
              </w:rPr>
              <m:rPr/>
              <m:t>х 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(12-j+1)/12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, 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 – предельный размер субсидии;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j – порядковый номер месяца в году (для января j = 1, для февраля j = 2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далее последовательно для каждого следующего месяца);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K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j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объем кредитов, планируемый к предоставлению получателем субсидии субъектам малого и среднего предпринимательства 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в j-м месяце текущего финансового года в соответствии с графиком предоставления кредитов, указанным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 – ставка субсидирования в размере 10 процентов.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Предельный размер субсидии не может превышать размера субсидии, указанного в заявке участника отбора.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20. Фактический размер субсидии получателю субсидии определяется следующим образом: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в объеме предельного размера субсидии, 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ссчитанного в соответствии с пунктом 19 Порядка, но не выше размера, указанного им в заявке, в случае, если совокупный предельный размер субсидий всех получателей субсидии не превышает лимита бюджетных обязательств, утвержденных на предоставление субсидий;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размере, пропорциональном размеру, указанному им в заявке, к общему размеру субсидии, запрашиваемому всеми участникам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отбора получателей субсидий, включенными в рейтинг, но не выше размера, указанного им в заявке, в случае, если совокупный предельный размер субсидий всех получателей субсидии превышает лимит бюджетных обязательств, утвержденных на предоставление субсидий</w:t>
      </w:r>
      <w:r>
        <w:rPr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целях предоставления кредита заемщик на день заключения соответствующего кредитного договора (соглашения), а также на период предоставления субсидии должен соответствовать следующим требованиям: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 отношении заемщика не вв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должен прекратить деятельность в качестве индивидуального предпринимателя;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заемщик не относится к субъектам малого и среднего предпринимательства, указанным в части 3 и в части 4 статьи 14 Федерального закона от 24.07.2007 № 209-ФЗ «О развитии малого и среднего предпринимательства в Российской Федерации».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 Перечень документов, представляемый заемщиком получателю субсидии для заключения кредитного договора (соглашения), устанавливается получателем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23. Для перечисления субсидии получатель субсидии представляет в Министерство не позднее седьмого рабочего дня месяца, следующего за отчетным кварталом, следующие документы (по состоянию на первое число месяца, следующего за отчетным кварталом):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реестр заемщиков, подписанный руководителем получателя субсидии или уполномоченным лицом (с представлением документов, подтверждающих полномочия этого лица), по форме согласно приложению №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 Порядку;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заявление на перечисление субсидии по форме согласно приложению № 3 к Порядку, подписанное руководителем получателя субсидии или уполномоченным лицом (с представлением документов, подтверждающих полномочия этого лица);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копии кредитных договоров (соглашений), заключенных заемщиками, включенными в реестр заемщиков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отчетном квартале, а также копии дополнительных соглашений по таким включенным в реестр заемщиков кредитным договорам (соглашениям), заключенные в отчетном квартале (или) в квартале, предшествующем отчетному кварталу, в случае, если они не представлялись ранее;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выписки по ссудному счету по кредитным договорам (соглашениям), подтверждающие выдачу кредита в отчетном квартале и (или) в кварталах, предшествующих отчетному кварталу, в случае, если они не представлялись ранее;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расчет размера субсидии в соответствии с пунктом 28 Порядка по каждому кредитному договору (соглашению) в соответствии с приложением 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 к Порядку.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 за 4 квартал представляются не позднее десятого декабря текущего года.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24. Получатель субсидии несет ответственность: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за некомплектность и недостоверность сведений, содержащихся в документах, представленных в соответствии с пунктом 23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за недостоверность данных, используемых для расчета размера субсидии, и за соответствие расчета размера субсидии порядку расчета, предусмотренному пунктом 28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за несоответствие заемщиков требованиям, указанным в пункте 21 Порядка;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за нецелевое использование кредита по кредитному договору (соглашению).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 Министерство в течение 5 рабочих дней после истечения срока, указанного в пункте 23 Порядка, осуществляет прове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рку представленных получателем субсидии в соответствии с пунктом 23 Порядка документов и принимает решение о предоставлении субсидии с указанием предоставляемой суммы субсидии за отчетный квартал или об отказе в предоставлении субсидии за отчетный квартал.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26. Решение об отказе в предоставлении субсидии за отчетный период принимается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представленных получателем субсидии документов требованиям, указанным в пункте 23 Порядка, или непредставление (представление не в полном объеме) указанных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установление факта недостоверности представленной получателем субсидии информации;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выявление несоответствий в представленных получателем субсидии в соответствии с пунктом 23 Порядка документах.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Отказ в предоставлении субсидии не препятствует повторному обращению получателя субсидии за ее перечислением в квартале, следующем за кварталом, в котором было принято решение об отказе в предоставлении субсидии, но не позднее декабря текущего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27. Перечисление субсидии осуществляется ежеквартально на корреспондентский счет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 субсидии, открытый в учреждении Центрального банка Российской Федерации или кредитной организации, не позднее десятого рабочего дня, следующего за днем принятия Министерством решения о предоставлении субсидии в соответствии с пунктом 25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28.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Расчет суммы субсидии за отчетный квартал по каждому кредитному договору (соглашению) осуществляется в размере, рассчитанном как произведение суммы среднеквартального остатка ссудной задолженности заемщика по кредитному договору (соглашению) за отчетный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вартал, заключенному с получателем субсидии в соответствии с требованиями Порядка, и ставки субсидирования, установленной в размере десяти процентов, деленное на количество дней в текущем финансовом году и умноженное на количество дней в отчетном квартале.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Среднеквартальный остаток ссудной задолженности заемщика по кредитному договору (соглашению) за отчетный квартал (СО) определяется по следующей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spacing w:after="0" w:line="240" w:lineRule="auto"/>
        <w:widowControl w:val="off"/>
        <w:tabs>
          <w:tab w:val="left" w:pos="1276" w:leader="none"/>
          <w:tab w:val="left" w:pos="7060" w:leader="none"/>
        </w:tabs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 =</w:t>
      </w:r>
      <w:r>
        <w:rPr>
          <w:highlight w:val="none"/>
        </w:rPr>
        <w:t xml:space="preserve"> </w:t>
      </w:r>
      <m:oMath>
        <m:nary>
          <m:naryPr>
            <m:chr m:val="∑"/>
            <m:grow m:val="off"/>
            <m:limLoc m:val="undOvr"/>
            <m:ctrlPr>
              <w:rPr>
                <w:rFonts w:ascii="Cambria Math" w:hAnsi="Cambria Math" w:eastAsia="Cambria Math" w:cs="Cambria Math"/>
                <w:i/>
                <w:sz w:val="28"/>
                <w:szCs w:val="28"/>
                <w:highlight w:val="none"/>
              </w:rPr>
            </m:ctrlPr>
          </m:naryPr>
          <m:sub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/>
              <m:t>i=1</m:t>
            </m:r>
          </m:sub>
          <m:sup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/>
              <m:t>n</m:t>
            </m:r>
          </m:sup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O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  <w:vertAlign w:val="subscript"/>
              </w:rPr>
              <m:rPr>
                <m:sty m:val="p"/>
              </m:rPr>
              <m:t>i</m:t>
            </m:r>
            <m:r>
              <w:rPr>
                <w:rFonts w:ascii="Cambria Math" w:hAnsi="Cambria Math" w:eastAsia="Cambria Math" w:cs="Cambria Math"/>
                <w:sz w:val="28"/>
                <w:szCs w:val="28"/>
                <w:highlight w:val="none"/>
              </w:rPr>
              <m:rPr>
                <m:sty m:val="p"/>
              </m:rPr>
              <m:t> / n</m:t>
            </m:r>
          </m:e>
        </m:nary>
      </m:oMath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highlight w:val="none"/>
        </w:rPr>
        <w:br/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остаток ссудной задолженности заемщика по кредитному договору (соглашению) на конец i-го дня в отчетном квартале;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n – количество дней в отчетном квартале.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29. Получатели субсидии не позднее 10 октября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текущего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вправе представить в Министерство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предложения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внесении изменений в соглашение, в том числе в части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уменьшения размера субсидии, с приложением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и информации, содержащей финансово-экономическое обоснование данного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30. 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Решение об изменении размера субсидии и внесении соответствующих изменений в соглашение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принимается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Министерством в течение 5 рабочих дней со дня представления документов, указанных в пункте 29 Порядка.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14:ligatures w14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31. В срок не позднее 5 рабочих дней со дня принятия решения, указанного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30 Порядка, Министерство заключает с получателями субсидий дополнительные соглашения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изменении размера субсидии и значений результата предоставления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widowControl w:val="off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III. Требования к отчетности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32. Получатель субсидии еж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еквартально представляет в ГИИС «Электронный бюджет» отчет о достижении значения результата предоставления субсидии, установленного в пункте 18 Порядка (далее - отчет о достижении результата), в первый рабочий день месяца, следующего за отчетным кварталом.</w:t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Отчет о достижении результата представляется по форме, определенной формой соглашения, утвержденной приказом № 80-НПА.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33. Министерство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течение 10 рабочих дней со дня получения отчета о достижении результата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осуществляет его проверку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на полноту и корректность заполнения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по результатам которой принимает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или возвращает его на доработку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Получатель субсидии осуществляет доработку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отчета о достижении 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течение пяти рабочих дней со дня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его получения на доработку и представляет доработанный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в ГИИС «Электронный бюджет»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Министерство в течение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пяти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рабочих дней со дня получения от получателя субсидии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доработанного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отчета о достижении результата осуществляет его проверку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после чего принимает отчет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 достижении  результата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или направляет его на повторную доработку в порядке, предусмотренном настоящим пунктом.</w:t>
      </w:r>
      <w:r>
        <w:rPr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IV. Требования об осуществлении контроля (мониторинга)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соблюдением условий и порядка предоставления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субсидий и ответственности за их нарушения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34. При предоставлении субсидий Министерством проводится проверка соблюдения условий и поря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дка предоставления субсидий их получателем, в том числе в части достижения результата предоставления субсидии, а также проверка органами государственного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35. В случае нарушения получателем субсидии условий предоставления субсидий, выявленного в том числе по фактам проверок, проведенных Министерством и органом государственного финансового контр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оля, субсидии подлежат возврату в областной бюджет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36. При предоставлении субсидий проводится мониторинг достижения значения результата предоставления субсидии, определенного соглашением,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событий, отражающих факт завершения соответствующего мероприятия по получению результата (контрольная точка), в порядке и по формам, установленным приказом Министерства финансов Российской Федерации от 27.04.2024 № 53н «Об утверждении Порядка проведения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37. В случае если получателем субсидии по состоянию на дату достижения результата предоставления субсидии, указанную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соглашении, допущено нарушение обязательства по достижению значения результата предоставления субсидии, объем средств, подлежащий возврату в областной бюджет Новосибирской области в течение 30 дней после предъявления Министерством требования о возврате (V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), определяется по формуле: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возврата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= 0,1 x 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x (1 - T / (S х k)), где: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- размер фактически предоставленной субсидии;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T - фактически достигнутое значение результата предоставления субсидии на отчетную дату;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S - плановое значение результата предоставления субсидии, установленное соглашением;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k - коэффициент, характеризующий фактическое использование субсидии, и определяемый как отношение размера фактически предоставленной субсидии к размеру субсидии, установленному соглашением.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9923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1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992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Реестр заемщиков на «___»_____________20__ 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W w:w="15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2"/>
        <w:gridCol w:w="1330"/>
        <w:gridCol w:w="1009"/>
        <w:gridCol w:w="992"/>
        <w:gridCol w:w="1134"/>
        <w:gridCol w:w="1276"/>
        <w:gridCol w:w="1276"/>
        <w:gridCol w:w="1134"/>
        <w:gridCol w:w="1134"/>
        <w:gridCol w:w="1134"/>
        <w:gridCol w:w="1276"/>
        <w:gridCol w:w="1134"/>
        <w:gridCol w:w="1191"/>
        <w:gridCol w:w="975"/>
      </w:tblGrid>
      <w:tr>
        <w:tblPrEx/>
        <w:trPr>
          <w:jc w:val="center"/>
          <w:trHeight w:val="284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5"/>
            <w:tcMar>
              <w:left w:w="28" w:type="dxa"/>
              <w:top w:w="85" w:type="dxa"/>
              <w:right w:w="28" w:type="dxa"/>
              <w:bottom w:w="85" w:type="dxa"/>
            </w:tcMar>
            <w:tcW w:w="574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Сведения о заемщике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8"/>
            <w:tcMar>
              <w:left w:w="28" w:type="dxa"/>
              <w:top w:w="85" w:type="dxa"/>
              <w:right w:w="28" w:type="dxa"/>
              <w:bottom w:w="85" w:type="dxa"/>
            </w:tcMar>
            <w:tcW w:w="925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Сведения о кредитном договоре (соглашении)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56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полное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наименование заемщика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0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ИНН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заемщика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ОКВЭД заемщика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категория субъекта малого и среднего пред-принимате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место нахождения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(место жительства)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заемщика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номер кредитного договора (соглашения)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дата кредитного договора (согла-шения)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дата предо-ставления кредита заемщику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срок кредита по кредит-ному договору (согла-шению), месяцев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размер кредита по кредитному договору (согла-шению),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цель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креди-тования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1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сумма задол-женности по кредитному договору (согла-шению) на отчетную дату,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действую-щая ставка по кредит-ному договору (согла-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highlight w:val="none"/>
                <w:lang w:eastAsia="ru-RU"/>
              </w:rPr>
              <w:t xml:space="preserve">шению),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26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41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center"/>
          <w:trHeight w:val="415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5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highlight w:val="non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3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09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9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____________________ (____________________________)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2832" w:firstLine="1137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»_____________ 20__ г.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министерство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промышленности, торговли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развития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объеме кредитов, планируемых к выдаче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 </w:t>
      </w:r>
      <w:r>
        <w:rPr>
          <w:rFonts w:ascii="Times New Roman" w:hAnsi="Times New Roman" w:cs="Times New Roman"/>
          <w:sz w:val="20"/>
          <w:szCs w:val="28"/>
          <w:highlight w:val="none"/>
        </w:rPr>
        <w:t xml:space="preserve">(наименование кредитной организации)</w:t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(ИНН, ОГРН, адрес кредитной организации и (или) адрес филиала кредитной организации</w:t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  <w:t xml:space="preserve">в Новосибирской области, адрес электронной почты)</w:t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2"/>
          <w:szCs w:val="28"/>
          <w:highlight w:val="none"/>
        </w:rPr>
      </w:pPr>
      <w:r>
        <w:rPr>
          <w:rFonts w:ascii="Times New Roman" w:hAnsi="Times New Roman" w:cs="Times New Roman"/>
          <w:sz w:val="12"/>
          <w:szCs w:val="28"/>
          <w:highlight w:val="none"/>
        </w:rPr>
      </w:r>
      <w:r>
        <w:rPr>
          <w:rFonts w:ascii="Times New Roman" w:hAnsi="Times New Roman" w:cs="Times New Roman"/>
          <w:sz w:val="12"/>
          <w:szCs w:val="28"/>
          <w:highlight w:val="none"/>
        </w:rPr>
      </w:r>
      <w:r>
        <w:rPr>
          <w:rFonts w:ascii="Times New Roman" w:hAnsi="Times New Roman" w:cs="Times New Roman"/>
          <w:sz w:val="12"/>
          <w:szCs w:val="28"/>
          <w:highlight w:val="none"/>
        </w:rPr>
      </w:r>
    </w:p>
    <w:p>
      <w:pPr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(приложение № 15 к постановлению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 в Новосибирской области»)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Порядок) планирует предоставление кредитов на условиях, определенных Порядком, по следующему графику: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45"/>
        <w:tblW w:w="10201" w:type="dxa"/>
        <w:jc w:val="center"/>
        <w:tblLook w:val="04A0" w:firstRow="1" w:lastRow="0" w:firstColumn="1" w:lastColumn="0" w:noHBand="0" w:noVBand="1"/>
      </w:tblPr>
      <w:tblGrid>
        <w:gridCol w:w="5524"/>
        <w:gridCol w:w="4677"/>
      </w:tblGrid>
      <w:tr>
        <w:tblPrEx/>
        <w:trPr>
          <w:jc w:val="center"/>
          <w:trHeight w:val="340" w:hRule="exact"/>
        </w:trPr>
        <w:tc>
          <w:tcPr>
            <w:gridSpan w:val="2"/>
            <w:tcMar>
              <w:left w:w="57" w:type="dxa"/>
              <w:top w:w="28" w:type="dxa"/>
              <w:right w:w="57" w:type="dxa"/>
              <w:bottom w:w="28" w:type="dxa"/>
            </w:tcMar>
            <w:tcW w:w="102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Объем кредитов, планируемый к предоставлению (предоставленный) в периоде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период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сумма, тысяч рублей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01.01.20__ – 31.01.20__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01.02.20__ – 28.02.20__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01.03.20__ – 31.03.20__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01.04.20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 – 31.04.20__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01.05.20__– 31.05.20__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01.06.20__– 30.06.20__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01.07.20__– 31.07.20__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01.08.20__– 30.08.20__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01.09.20__– 30.09.20__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01.10.20__– 31.10.20__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01.11.20__–30.11.20__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01.12.20__– 31.12.20__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55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  <w:tc>
          <w:tcPr>
            <w:tcMar>
              <w:left w:w="57" w:type="dxa"/>
              <w:top w:w="28" w:type="dxa"/>
              <w:right w:w="57" w:type="dxa"/>
              <w:bottom w:w="28" w:type="dxa"/>
            </w:tcMa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10"/>
          <w:szCs w:val="28"/>
          <w:highlight w:val="none"/>
        </w:rPr>
      </w:pPr>
      <w:r>
        <w:rPr>
          <w:rFonts w:ascii="Times New Roman" w:hAnsi="Times New Roman" w:cs="Times New Roman"/>
          <w:sz w:val="10"/>
          <w:szCs w:val="28"/>
          <w:highlight w:val="none"/>
        </w:rPr>
      </w:r>
      <w:r>
        <w:rPr>
          <w:rFonts w:ascii="Times New Roman" w:hAnsi="Times New Roman" w:cs="Times New Roman"/>
          <w:sz w:val="10"/>
          <w:szCs w:val="28"/>
          <w:highlight w:val="none"/>
        </w:rPr>
      </w:r>
      <w:r>
        <w:rPr>
          <w:rFonts w:ascii="Times New Roman" w:hAnsi="Times New Roman" w:cs="Times New Roman"/>
          <w:sz w:val="10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</w:t>
      </w:r>
      <w:bookmarkStart w:id="1" w:name="undefined"/>
      <w:r>
        <w:rPr>
          <w:highlight w:val="none"/>
        </w:rPr>
      </w:r>
      <w:bookmarkEnd w:id="1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 (________________________)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«____»_______________ 20__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министерство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промышленности, торговли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развития 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Заявление</w:t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4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20"/>
          <w:szCs w:val="24"/>
          <w:highlight w:val="none"/>
        </w:rPr>
        <w:t xml:space="preserve">(наименование кредитной организации)</w:t>
      </w:r>
      <w:r>
        <w:rPr>
          <w:rFonts w:ascii="Times New Roman" w:hAnsi="Times New Roman" w:eastAsia="Calibri" w:cs="Times New Roman"/>
          <w:sz w:val="20"/>
          <w:szCs w:val="24"/>
          <w:highlight w:val="none"/>
        </w:rPr>
      </w:r>
      <w:r>
        <w:rPr>
          <w:rFonts w:ascii="Times New Roman" w:hAnsi="Times New Roman" w:eastAsia="Calibri" w:cs="Times New Roman"/>
          <w:sz w:val="20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0"/>
          <w:szCs w:val="24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на перечисление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«___»_____________ 20___г.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4"/>
          <w:highlight w:val="none"/>
        </w:rPr>
      </w:pP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На конец отчетного периода портфель кредитов, предоставленных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br/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8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(наименование кредитной организации)</w:t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0"/>
          <w:szCs w:val="24"/>
          <w:highlight w:val="none"/>
        </w:rPr>
        <w:pBdr>
          <w:top w:val="single" w:color="000000" w:sz="4" w:space="0"/>
        </w:pBdr>
      </w:pP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  <w:r>
        <w:rPr>
          <w:rFonts w:ascii="Times New Roman" w:hAnsi="Times New Roman" w:eastAsia="Calibri" w:cs="Times New Roman"/>
          <w:sz w:val="10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субъектам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Порядком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(приложение № 15 к постановлению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области»)</w:t>
      </w:r>
      <w:r>
        <w:rPr>
          <w:rFonts w:ascii="Times New Roman" w:hAnsi="Times New Roman" w:cs="Times New Roman"/>
          <w:spacing w:val="-2"/>
          <w:sz w:val="28"/>
          <w:szCs w:val="28"/>
          <w:highlight w:val="none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Порядок)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и подлежащих субсидированию на основании соглашения ________________________от «____» ____________ 20___ г. № 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____________, заключенного кредитной организацией с министерством промышленности, торговли и развития предпринимательства Новосибирской области, в соответствии с реестром заемщиков составляет ________________ единиц.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14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                                                       (количество кредитов)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ind w:firstLine="14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Общая сумма задолженности субъектов малого и среднего предпринимательства по кредитным договорам (соглашениям) на конец отчетного периода составляет_____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________________________________________ рублей</w:t>
      </w:r>
      <w:r>
        <w:rPr>
          <w:rStyle w:val="877"/>
          <w:rFonts w:ascii="Times New Roman" w:hAnsi="Times New Roman" w:eastAsia="Calibri" w:cs="Times New Roman"/>
          <w:sz w:val="28"/>
          <w:szCs w:val="28"/>
          <w:highlight w:val="none"/>
          <w:vertAlign w:val="baselin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5103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(прописью)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8"/>
          <w:highlight w:val="none"/>
        </w:rPr>
      </w:pPr>
      <w:r>
        <w:rPr>
          <w:rFonts w:ascii="Times New Roman" w:hAnsi="Times New Roman" w:eastAsia="Calibri" w:cs="Times New Roman"/>
          <w:sz w:val="10"/>
          <w:szCs w:val="28"/>
          <w:highlight w:val="none"/>
        </w:rPr>
      </w:r>
      <w:r>
        <w:rPr>
          <w:rFonts w:ascii="Times New Roman" w:hAnsi="Times New Roman" w:eastAsia="Calibri" w:cs="Times New Roman"/>
          <w:sz w:val="10"/>
          <w:szCs w:val="28"/>
          <w:highlight w:val="none"/>
        </w:rPr>
      </w:r>
      <w:r>
        <w:rPr>
          <w:rFonts w:ascii="Times New Roman" w:hAnsi="Times New Roman" w:eastAsia="Calibri" w:cs="Times New Roman"/>
          <w:sz w:val="10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Общий размер субсидии к выплате за отчетный период составляет______________________________________________________ рублей.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4962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8"/>
          <w:highlight w:val="none"/>
        </w:rPr>
      </w:pPr>
      <w:r>
        <w:rPr>
          <w:rFonts w:ascii="Times New Roman" w:hAnsi="Times New Roman" w:eastAsia="Calibri" w:cs="Times New Roman"/>
          <w:sz w:val="20"/>
          <w:szCs w:val="28"/>
          <w:highlight w:val="none"/>
        </w:rPr>
        <w:t xml:space="preserve">(прописью)</w:t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  <w:r>
        <w:rPr>
          <w:rFonts w:ascii="Times New Roman" w:hAnsi="Times New Roman" w:eastAsia="Calibri" w:cs="Times New Roman"/>
          <w:sz w:val="20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Подтверждаю, что: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заемщики, указанные в реестре заемщиков, соответствуют требованиям, установленным пунктом 21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не выявлено нецелевого использования предоставленных кредитных средств заемщиками, указанными в реестре заемщиков.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____________________ (____________________________)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2832" w:firstLine="1137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Исполнитель ____________________ (___________________________)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2552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«____»_______________ 20__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9923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ПРИЛОЖЕНИЕ № 4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left="9921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Порядку предоставления субсидий российским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Расчет суммы субсидии за____ квартал 20__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W w:w="15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4"/>
        <w:gridCol w:w="1648"/>
        <w:gridCol w:w="992"/>
        <w:gridCol w:w="1843"/>
        <w:gridCol w:w="2138"/>
        <w:gridCol w:w="1521"/>
        <w:gridCol w:w="1496"/>
        <w:gridCol w:w="1585"/>
        <w:gridCol w:w="1930"/>
        <w:gridCol w:w="1930"/>
      </w:tblGrid>
      <w:tr>
        <w:tblPrEx/>
        <w:trPr>
          <w:jc w:val="center"/>
        </w:trPr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6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Полное наименование заемщика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заемщика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Номер и дата кредитного договора (соглашения)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213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pacing w:val="-6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highlight w:val="none"/>
                <w:lang w:eastAsia="ru-RU"/>
              </w:rPr>
              <w:t xml:space="preserve">Сумма среднеквартального остатка ссудной задолженности заемщика по кредитному договору (соглашению) за отчетный квартал, рассчитанная в соответствии с пунктом 28 Порядка, рублей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5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Ставка субсиди-рования, применяемая по кредитному договору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(соглашению), процентов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4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Количество дней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в отчетном квартале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5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Количество дней в отчетном году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Расчет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суммы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субсидии за отчетный 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((графа 5 х графа 6 х графа 7) / графа 8)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28" w:type="dxa"/>
              <w:top w:w="85" w:type="dxa"/>
              <w:right w:w="28" w:type="dxa"/>
              <w:bottom w:w="85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  <w:t xml:space="preserve">Размер планируемых к предоставлению субсидий в текущем финансовом году, за исключением субсидии за отчетный период, 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4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3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4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3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</w:tr>
      <w:tr>
        <w:tblPrEx/>
        <w:trPr>
          <w:jc w:val="center"/>
          <w:trHeight w:val="340" w:hRule="exact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64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38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21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496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85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93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(уполномоченное лицо) ____________________ (____________________________)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2832" w:firstLine="1137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(подпись)                                   (расшифровка подписи)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М.П. (при наличии)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«____»_______________ 20__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highlight w:val="none"/>
        </w:rPr>
        <w:t xml:space="preserve">____</w:t>
      </w:r>
      <w:r>
        <w:rPr>
          <w:highlight w:val="none"/>
        </w:rPr>
        <w:t xml:space="preserve">_</w:t>
      </w:r>
      <w:r>
        <w:rPr>
          <w:highlight w:val="none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>
        <w:numFmt w:val="decimal"/>
      </w:endnotePr>
      <w:type w:val="nextPage"/>
      <w:pgSz w:w="16838" w:h="11906" w:orient="landscape"/>
      <w:pgMar w:top="1417" w:right="1134" w:bottom="567" w:left="1134" w:header="68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 Math">
    <w:panose1 w:val="02000603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1"/>
    <w:uiPriority w:val="10"/>
    <w:rPr>
      <w:sz w:val="48"/>
      <w:szCs w:val="48"/>
    </w:rPr>
  </w:style>
  <w:style w:type="character" w:styleId="702">
    <w:name w:val="Subtitle Char"/>
    <w:basedOn w:val="719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Header Char"/>
    <w:basedOn w:val="719"/>
    <w:link w:val="739"/>
    <w:uiPriority w:val="99"/>
  </w:style>
  <w:style w:type="character" w:styleId="706">
    <w:name w:val="Caption Char"/>
    <w:basedOn w:val="743"/>
    <w:link w:val="741"/>
    <w:uiPriority w:val="99"/>
  </w:style>
  <w:style w:type="character" w:styleId="707">
    <w:name w:val="Footnote Text Char"/>
    <w:link w:val="872"/>
    <w:uiPriority w:val="99"/>
    <w:rPr>
      <w:sz w:val="18"/>
    </w:rPr>
  </w:style>
  <w:style w:type="character" w:styleId="708">
    <w:name w:val="Endnote Text Char"/>
    <w:link w:val="875"/>
    <w:uiPriority w:val="99"/>
    <w:rPr>
      <w:sz w:val="20"/>
    </w:r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709"/>
    <w:next w:val="709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Заголовок Знак"/>
    <w:link w:val="731"/>
    <w:uiPriority w:val="10"/>
    <w:rPr>
      <w:sz w:val="48"/>
      <w:szCs w:val="48"/>
    </w:rPr>
  </w:style>
  <w:style w:type="paragraph" w:styleId="733">
    <w:name w:val="Subtitle"/>
    <w:basedOn w:val="709"/>
    <w:next w:val="709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9"/>
    <w:next w:val="709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9"/>
    <w:next w:val="709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Верхний колонтитул Знак"/>
    <w:link w:val="739"/>
    <w:uiPriority w:val="99"/>
  </w:style>
  <w:style w:type="paragraph" w:styleId="741">
    <w:name w:val="Footer"/>
    <w:basedOn w:val="70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9"/>
    <w:next w:val="70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4" w:customStyle="1">
    <w:name w:val="Нижний колонтитул Знак"/>
    <w:link w:val="741"/>
    <w:uiPriority w:val="99"/>
  </w:style>
  <w:style w:type="table" w:styleId="745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6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563c1" w:themeColor="hyperlink"/>
      <w:u w:val="single"/>
    </w:rPr>
  </w:style>
  <w:style w:type="paragraph" w:styleId="872">
    <w:name w:val="footnote text"/>
    <w:basedOn w:val="70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9"/>
    <w:next w:val="709"/>
    <w:uiPriority w:val="39"/>
    <w:unhideWhenUsed/>
    <w:pPr>
      <w:spacing w:after="57"/>
    </w:pPr>
  </w:style>
  <w:style w:type="paragraph" w:styleId="879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0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1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2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3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4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5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6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9"/>
    <w:next w:val="709"/>
    <w:uiPriority w:val="99"/>
    <w:unhideWhenUsed/>
    <w:pPr>
      <w:spacing w:after="0"/>
    </w:pPr>
  </w:style>
  <w:style w:type="paragraph" w:styleId="889">
    <w:name w:val="No Spacing"/>
    <w:basedOn w:val="709"/>
    <w:uiPriority w:val="1"/>
    <w:qFormat/>
    <w:pPr>
      <w:spacing w:after="0" w:line="240" w:lineRule="auto"/>
    </w:pPr>
  </w:style>
  <w:style w:type="paragraph" w:styleId="890">
    <w:name w:val="List Paragraph"/>
    <w:basedOn w:val="709"/>
    <w:uiPriority w:val="34"/>
    <w:qFormat/>
    <w:pPr>
      <w:contextualSpacing/>
      <w:ind w:left="720"/>
    </w:pPr>
  </w:style>
  <w:style w:type="paragraph" w:styleId="891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2025-01-29T04:25:00Z</dcterms:created>
  <dcterms:modified xsi:type="dcterms:W3CDTF">2025-02-27T06:09:54Z</dcterms:modified>
</cp:coreProperties>
</file>