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«Приложение № 15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31.01.2017 № 14-п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I. Общие положения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Настоящий Порядок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- Порядок) разработан в соответствии со статьей 78 Бюджетного кодекса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Российской Федерац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и, частью 3 статьи 16 Федерального закона от 24.07.2007 № 209-ФЗ «О развитии малого и среднего предпринимательства в Российской Федерации», постановлением Правительства Российской Федерации от 25.10.2023 № 1782 «Об утверждении общих требований к нормативны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цам - производителям товаров, работ, услуг и проведение отборов получателей указанных субсидий, в том числе грантов в форме субсидий»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регламентирует предоставление  из областного бюджета Новосибирской области (далее - областной бюджет)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рамках государственной программы Новосибирской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 (далее - субсидии).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Субсидии предоставляются министерством промышленности, торговли и развития предпринимательства Новосибирской области (далее - Министерство), осуществляющим функции главного распорядителя бюджетных средств, до которого в соответствии с бюджетным законодат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Субсидии предоставляются в пределах лимитов бюджетных обязательств, утвержденных на реализацию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соответствующего мероприятия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программы Новосибирской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Информация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 Понятия, используемые в целях настоящего Порядка, означают следующее: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«заемщик» 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юридическое лицо или индивидуальный предприниматель,  сведе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ния о котором внес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ены в единый реестр субъектов малого или среднего предпринимательства,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зарегистрированный на территории Новосибирской области,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обладающий правами на интеллектуальную собственность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заключивший кредитный договор (соглашение) с получателем субсидии с использованием поручительства Фонда развития малого и среднего предпринимательства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далее – Фонд)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 залог прав на интеллектуальную собственность;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«интеллектуальная собственность» –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(произведения науки, программы для электронных вычислительных машин (программы для ЭВМ), базы данных, топологии интегральных микросхем, изобретения, промышленные образцы, полезные модели, селекционные достижения, секреты производства (ноу-хау), исполнения, фонограммы, сообщение в эфир или по кабелю радио- или телепередач (вещание организаций эфирного или кабельного вещания), фирменные наименования, товарные знаки и знаки обслуживания, географические указания, наименования мест происхождения товаров, коммерческие обозначения),  зарегистрированные в федеральном органе исполнительной власти по интеллектуальной собственности и (или) имеющие фиксацию прав в сети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РЦИС.РФ, которые используются в деятельности заемщика и исключительные права на которые единолично принадлежат заемщику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«кредитный договор (соглашение)»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кредитный договор (соглашение), по которому получатель субсидии предоставляет заемщику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год предоставления субсидии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кредит с использованием поручительства Фонда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под залог прав на интеллектуальную собственность в размере до 50 млн рублей по ставке, не превышающей размер ключевой ставки на дату выдачи кредита, уменьшенной на 6 процентов, без возможности одностороннего изменения ставки получателем субсидии, на цели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приобретения основных средств (за исключением объектов недвижимого имущества) и (или) пополнения оборотн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ых средств. Кредит на пополнение оборотных средств не может направляться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финансирование затрат, связанных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уплатой налогов, сборов и иных обязательных платежей в бюджеты бюджетной системы Российской Федерации и бюджеты государственных внебюджетных фондов, выплатой заработной платы, уплатой процентов по займам, предост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авленным государственными микрофинансовыми организациями, а также по кредитам, привлеченным в кредитных организациях;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«реестр заемщиков» - сформированный получателем субсидии по форме согласно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приложению № 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 Порядку реестр заемщиков, заключивших кредитные договоры (соглашения) в году предоставления субсидии.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 Определение получателей субсидии осуществл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яется по результатам отбора путем проведения запроса предложений, организатором которого является Министерство (далее - отбор)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</w:t>
      </w:r>
      <w:r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 от 25.10.2023 № 1781 (далее – Правила отбора).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II. Условия и порядок предоставления субсидий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 Субсидии предоставляются российским кредитным организациям, отбираемым исходя из следующих критериев отбора: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наличие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 кредитной организации на территории Новосибирской области по состоянию на дату подачи заявки на участие в отборе внутренних структурных подразделений - дополнительных офисов, кредитно-кассовых офисов, опер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ационных офисов или удаленных рабочих мест;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) наличие на дату подачи заявки на участие в отборе заключенного соглашения о сотрудничестве между кредитной организацией и Фондом.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предоставляются при соответствии участника отбора на дату рассмотрения заявки следующим требованиям: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не получает средства из областного бюджета Новосибирской области на основании иных нормативных правовых актов Новосибирской области на цели, установленные Порядком;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не является иностранным агентом в соответствии с Федеральным законом от 14.07.2022 № 255-ФЗ «О контроле за деятельностью лиц, находящихся под иностр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анным влиянием»;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соответствует критериям отбора, установленным пунктом 8 Порядка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0. 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частники отбора подают заявку в государственной интегрированной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информационной системе управления общественными финансами «Электронный бюджет» (далее - ГИИС «Электронный бюджет») в соответствии с разделом V Правил отбора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предложение по форме, установленной приложением № 1 к Порядку (далее – предложение);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скан-копия соглашения о сотрудничестве с Фондом;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документы, указа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нные в пункте 21 Порядка (при наличии на дату подачи заявки).</w:t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 Проверка участника отбора на соответствие требованиям, указанным в пункте 9 Порядка, осуществляется в срок не позднее десяти рабочих дней после подписания протокола вскрытия заявок в соответст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вии с Правилами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проверке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получателя субсидии на соответствие требованиям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указанным в пункте 9 Порядка, Министерство использует информацию (сведения),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указанную в заявке,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опубликованную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 «Интернет» на официальном сайте Федеральной службы по финансо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Основаниями для отказа в предоставлении субсидии являются:</w:t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несоответствие получателя субсидии требованиям, указанным в пункте 9 Порядка;</w:t>
      </w:r>
      <w:r/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несоответствие представленных получателем субсидии документов требованиям, определенным 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Порядка, или непредставление (представление не в полном объеме) указанных документов;</w:t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13. Министерство заключает с получателями субсидии соглашения о предоставлении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- соглашение) в течение 5 рабочих дней со дня подписания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протокола поведения итогов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Соглашения (дополнительные соглашения к соглашениям) заключаются в государственной интегрированной информационной системе управления общес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твенными финансами «Электронный бюджет» (далее - ГИИС «Электронный бюджет»).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оглашения (дополнительные соглашения к соглашениям) заключаются в соответствии с типовой формой соглашения, утвержденной приказом министерства финансов и налоговой политики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27.12.2016 № 80-НПА «Об утверждении типовых форм соглашений (договоров) о предоставлении из областного бюджета Новосибирско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 80-НПА)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- форма соглашения, утвержденная приказом № 80-НПА).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 В соглашениях в том числе должны содержаться: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значение результата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размер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направления недополученных доходов, на возмещение которых предоставляется субсидия;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согласие получателя субсидии на осуществление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финансового контроля в соответствии со статьями 268.1 и 269.2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2 Порядка,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лица, являющегося правопреемником.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реорганизации получателя субсидии в форме разделения, выделения (за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исключением случая, указанного в абзаце третьем настоящего пункта),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нию с отражением информации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не исполненных получателем субсидии обязательствах, источником финансового обеспечения которых является субсидия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получателя субсидии, являющегося кредит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ной организацией, в отношении которой иностранным государствами и международными организациями введены ограничительные меры, в форме выделения в соответствии со статьей 8 Федерального закона от 14.07.2022 № 292-ФЗ «О внесении изменений в отдельные законода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ии особенностей регулирования корпоративных отношений в 2022 и 2023 годах» обязательства по соглашению исполняются получателем субсидии в случае если по результатам такой</w:t>
        <w:tab/>
        <w:t xml:space="preserve"> реорганизации права и обязанности по соглашению сохраняются за получателем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 Устанавливается следующий результат предоставления субсидии: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объем кредитов, выданных получателем субсидии заемщикам на условиях  Порядка, по состоянию на дату достижения результата предоставления субсидии, указанную в соглашении.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Значение результата предоставления субсидии устанавливается в следующем размере: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размере, указанном в строке «Итого» графика предоставления кредитов, указанного в предложении, если фактический размер субсидии опр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еделен в соответствии с подпунктом 1 пункта 17 Порядка;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пропорциональном указанному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строке «Итого» графика  предоставления кредитов, указанного в предложении,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случае если фактический размер субсидии определен в соответствии с подпунктом 2 пункта 17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едельный размер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рассчитывается по формуле: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=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m:oMath>
        <m:nary>
          <m:naryPr>
            <m:chr m:val="∑"/>
            <m:grow m:val="off"/>
            <m:limLoc m:val="undOvr"/>
            <m:ctrlPr>
              <w:rPr>
                <w:rFonts w:hint="default" w:ascii="Cambria Math" w:hAnsi="Cambria Math" w:eastAsia="Cambria Math" w:cs="Cambria Math"/>
                <w:b w:val="0"/>
                <w:i/>
                <w:sz w:val="28"/>
                <w:szCs w:val="28"/>
                <w:highlight w:val="non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j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=1</m:t>
            </m:r>
          </m:sub>
          <m:sup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12</m:t>
            </m:r>
          </m:sup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K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j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 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х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S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 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х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(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12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-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j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+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1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)/12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, где: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Vпр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предельный размер субсидии;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j – порядковый номер месяца в году (для января j = 1, для февраля j = 2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далее последовательно для каждого следующего месяца);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K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j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объем кредитов, планируемый к предоставлению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получателем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субъектам малого и среднего предпринимательства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j-м месяце текущего финансовог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года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график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кредитов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указанн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в предложении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 – ставка субсидирования в размере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 процентов.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Предельный размер субсидии не может превышать размера субсидии, указанного в заявке участника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Фактический размер субсидии получателю субсидии определяется следующим образом: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объеме предельного размера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убсидии, рассчитанного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пунктом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 Порядка,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 не выше размера, указанного им в заявке,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случае, есл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совокупный предельный размер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всех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получателей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превышает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лимита бюджетных обязательств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утвержденных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предоставление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пропорциональном размеру, указанному им в заявке, к общему размеру субсидии, запрашиваемому всеми уча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стниками отбора получателей субсидий, включенными в рейтинг, но не выше размера, указанного им в заявке,  в случае,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совокупный предельный размер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всех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получателей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ревышает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лимит бюджетных обязательств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утвержденных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предоставление субсидий</w:t>
      </w:r>
      <w:r>
        <w:rPr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 В целях предоставления кредита заемщик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день заключения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соответствующего кредитного договора (соглашения), а также на период предоставления субсидии должен соответствовать следующим требованиям: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в отношении заемщика не введена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должен прекратить деятельность в качестве инди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видуального предпринимателя;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заемщик не относится к субъектам малого и среднего предпринимательства, указанным в части 3 и в части 4 статьи 14 Федерального закона от 24.07.2007 № 209-ФЗ «О развитии малого и среднего предпринимательства в Российской Федерации».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 Перечень документов, представляемый заемщиком получателю субсидии для заключения кредитного договора (соглашения), устанавливается получателем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 Для перечисления субсидии получатель субсидии представляет в Министерство не позднее седьмого рабочего дня месяца, следующего за отчетным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кварталом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следующие документы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(по состоянию на первое число месяца, следующего за отчетным кварталом):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заявление на перечисление субсидии по форме согласно приложению № 2 к Порядку, подписанное руководителем получателя субсидии или уполномоченным лицом (с представлением документов, подтверждающих полномочия этого лица); 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реестр заемщиков, подписанный руководителем получателя субсидии или уполномоченным лицом (с представлением документов, подтверждающих полномочия этого лица), по форме согласно приложению № 3 к Порядку;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копии кредитных договоров (соглашений), заключенных заемщиками, включенными в реестр заемщиков в отчетном квартале, а также дополнительные соглашения по таким включенным в реестр заемщиков кредитным договорам (соглашениям), заключенные в отчетном квартале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(или) в квартале, предшествующем отчетному кварталу, в случае, если они не представлялись ранее;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выписки по ссудному счету по кредитным договорам (соглашениям), подтверждающие выдачу кредита в отчетном квартале и (или) в кварталах, предшествующих отчетному кварталу, в случае, если они не представлялись ранее;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расчет размера субсидии в соответствии с пунктом 26 Порядка по каждому кредитному договору (соглашению) в соответствии с приложением № 4 к Порядку.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Документы за 4 квартал представляются не позднее десятого декабря текущего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 Получатель субсидии несет ответственность: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за некомплектность и недостоверность сведений, содержащихся в документах, представленных в соответствии с пунктом 21 Порядка;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за недостоверность данных, используемых для расчета размера субсидии, и за соответствие расчета размера субсидии порядку расчета, предусмотренному Порядком;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за несоответствие заемщиков требованиям, указанным в пункте 19  Порядка;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за нецелевое использование кредита по кредитному договору (соглашению).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 Министерство в течение 5 рабочих дней после истечения срока, указанного в пункте 21 Порядка, осуществляет проверку представленных получателем субсидии в соответствии с пунктом 21 Порядка документов и принимает решение о предоста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указанием предоставляемой суммы субсидии за отчетный квартал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или об отказе в предоставлении субсидии за отчетный квартал.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24. Решение об отказе в предоставлении субсидии за отчетный период принимается в следующих случаях:</w:t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несоответствие представленных получателем субсидии документов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требованиям, указанным в пункте 21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Порядка, или непредставление (представление не в полном объеме) указанных документов;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установление факта недостоверности представленной получателем субсидии информации;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выявление несоответствий в представленных получателем субсидии в соответствии с пунктом 21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Порядка документах.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Отказ в предоставлении субсидии не препятствует повторному обращению получателя субсидии за ее перечислением в квартале, следующем за кварт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алом, в котором было принято решение об отказе в предоставлении субсидии,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 не позднее декабря текущего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25. Перечисление субсидии осуществляется ежеквартально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корреспондентский счет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олучателя 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бсидии, открытый в учреждении Центрального банка Российской Федерации или кредитной организации, не позднее десятого рабочего дня, следующего за днем принятия Министерством решен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ия о предоставлении субсидии в соответствии с пунктом 23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Расчет суммы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отчетный квартал по каждому кредитному договору (соглашению)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осуществляется в размере, рассчитанном как произведение суммы среднеквартального остатка ссудной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задолженности заемщика по кредитному договору (соглашению) за отчетный квартал, заключенному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получателем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ставки субсидирования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установленной в размере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десяти процентов, деленное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дней в текущем финансовом году и умноженное на количество дней в отчетном квартале.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contextualSpacing/>
        <w:ind w:firstLine="708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Среднеквартальный остаток ссудной задолженности заемщика по кредитному договору (соглашению) за отчетный квартал (СО) определяется по следующей формуле: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afterAutospacing="0" w:line="240" w:lineRule="auto"/>
        <w:widowControl w:val="off"/>
        <w:tabs>
          <w:tab w:val="left" w:pos="1276" w:leader="none"/>
          <w:tab w:val="left" w:pos="7060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 =</w:t>
      </w:r>
      <w:r>
        <w:t xml:space="preserve"> </w:t>
      </w:r>
      <m:oMath>
        <m:nary>
          <m:naryPr>
            <m:chr m:val="∑"/>
            <m:grow m:val="off"/>
            <m:limLoc m:val="undOvr"/>
            <m:ctrlPr>
              <w:rPr>
                <w:rFonts w:hint="default" w:ascii="Cambria Math" w:hAnsi="Cambria Math" w:eastAsia="Cambria Math" w:cs="Cambria Math"/>
                <w:i/>
                <w:sz w:val="28"/>
                <w:szCs w:val="28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i=1</m:t>
            </m:r>
          </m:sub>
          <m:sup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n</m:t>
            </m:r>
          </m:sup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O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vertAlign w:val="subscript"/>
              </w:rPr>
              <m:rPr>
                <m:sty m:val="p"/>
              </m:rPr>
              <m:t>i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 /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>
                <m:sty m:val="p"/>
              </m:rPr>
              <m:t>n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after="0" w:afterAutospacing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остаток ссудной задолженности заемщика по кредитному договору (соглашению) на конец i-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дня в отчетном квартале;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n – количество дней в отчетном квартале.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afterAutospacing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III. Требования к отчетности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субсидии ежеквартально представляет в ГИИС «Электронный бюджет» отч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ет о дост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ижении значения результата предоставления субсидии, установленного в пункте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16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орядка (далее - отчет о достижении результата), в первый раб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очий день месяца, следующего за отчетным кварталом.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28. Отчет о достижении результата представляется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форме, определенной формой соглашения, утвержденной приказом № 80-НПА.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29. Министерство осуществляет проверку и принятие отчета о достижении результата  в течение 20 рабочих дней со дня предоставления такого отчета.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IV. Требования об осуществлении контроля (мониторинга)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 соблюдением условий и порядка предоставления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субсидий и ответственности за их нарушения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0. При предоставлении субсидий Министерством проводится проверка соблюдения условий и порядка предоставления субсидий их получателем, в том числе в части достижения результата предоставления субсидии, а также проверка органами государственного финансового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нар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ушения получателем субсидии условий предоставления субсидий, выявленного в том числе по фактам проверок, проведенных Министерством и органом государственного финансового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онтроля, субсидии подлежат возврату в областной бюджет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32. При предоставлении субсидий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(контрольная точка), в порядке и по формам,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установленным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33. В случае если получателем субсидии по состоянию на дату достижени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результата предоставления субсидии, указанную в соглашении, допущено нарушение обязательства по достижению значения результата предоставления субсидии, объем средств, подлежащий возврату в областной бюджет Новосибирской области в течение 30 дней после предъявления Министерством требования о возврате (V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возврата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), определяется по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4"/>
          <w:highlight w:val="none"/>
          <w14:ligatures w14:val="none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shd w:val="nil" w:color="00000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возврата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= 0,1 x 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x (1 - T / (S х k)), где:</w:t>
      </w:r>
      <w:r/>
    </w:p>
    <w:p>
      <w:pPr>
        <w:spacing w:after="0" w:afterAutospacing="0" w:line="240" w:lineRule="auto"/>
        <w:shd w:val="nil" w:color="00000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8"/>
        <w:spacing w:after="0" w:afterAutospacing="0" w:line="240" w:lineRule="auto"/>
        <w:shd w:val="nil" w:color="000000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азмер фактически предоставленной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afterAutospacing="0" w:line="240" w:lineRule="auto"/>
        <w:shd w:val="nil" w:color="00000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T - фактически достигнутое значение результата предоставления субсидии на отчетную дату;</w:t>
      </w:r>
      <w:r/>
    </w:p>
    <w:p>
      <w:pPr>
        <w:ind w:firstLine="708"/>
        <w:jc w:val="both"/>
        <w:spacing w:after="0" w:afterAutospacing="0" w:line="240" w:lineRule="auto"/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 - плановое значение результата предоставления субсидии, установленное соглашением;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k - коэффициент, характеризующий фактическое использование субсидии, и определяемый как отношение размера фактически предоставленной субсидии к размеру субсидии, установленному соглашением.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 w:right="0" w:firstLine="0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№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промышленности, торговли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  <w:r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 xml:space="preserve">кредитной </w:t>
      </w:r>
      <w:r>
        <w:rPr>
          <w:rFonts w:ascii="Times New Roman" w:hAnsi="Times New Roman" w:cs="Times New Roman"/>
          <w:sz w:val="20"/>
          <w:szCs w:val="28"/>
        </w:rPr>
        <w:t xml:space="preserve">организации)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(ИНН, ОГРН, адрес кредитной организации</w:t>
      </w:r>
      <w:r>
        <w:rPr>
          <w:rFonts w:ascii="Times New Roman" w:hAnsi="Times New Roman" w:cs="Times New Roman"/>
          <w:sz w:val="20"/>
          <w:szCs w:val="28"/>
        </w:rPr>
        <w:t xml:space="preserve"> и (или) </w:t>
      </w:r>
      <w:r>
        <w:rPr>
          <w:rFonts w:ascii="Times New Roman" w:hAnsi="Times New Roman" w:cs="Times New Roman"/>
          <w:sz w:val="20"/>
          <w:szCs w:val="28"/>
        </w:rPr>
        <w:t xml:space="preserve">адрес филиала кредитной организации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в Новосибирской области, адрес электронной почты)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12"/>
          <w:szCs w:val="28"/>
        </w:rPr>
      </w:r>
      <w:r>
        <w:rPr>
          <w:rFonts w:ascii="Times New Roman" w:hAnsi="Times New Roman" w:cs="Times New Roman"/>
          <w:sz w:val="12"/>
          <w:szCs w:val="28"/>
        </w:rPr>
      </w:r>
      <w:r>
        <w:rPr>
          <w:rFonts w:ascii="Times New Roman" w:hAnsi="Times New Roman" w:cs="Times New Roman"/>
          <w:sz w:val="12"/>
          <w:szCs w:val="28"/>
        </w:rPr>
      </w:r>
    </w:p>
    <w:p>
      <w:pPr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(приложение № 15 к постановлению Правительства Новосибирской области от 31.01.2017 № 14-п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«Об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«Развитие субъектов малого и среднего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предпринимательства  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Порядок) направляет настоящ</w:t>
      </w:r>
      <w:r>
        <w:rPr>
          <w:rFonts w:ascii="Times New Roman" w:hAnsi="Times New Roman" w:cs="Times New Roman"/>
          <w:sz w:val="28"/>
          <w:szCs w:val="28"/>
        </w:rPr>
        <w:t xml:space="preserve"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субсидии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размере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_________тыс. рублей и </w:t>
      </w:r>
      <w:r>
        <w:rPr>
          <w:rFonts w:ascii="Times New Roman" w:hAnsi="Times New Roman" w:cs="Times New Roman"/>
          <w:sz w:val="28"/>
          <w:szCs w:val="28"/>
        </w:rPr>
        <w:t xml:space="preserve">планирует предоставление кредитов на условиях, определенных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графику: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4"/>
        <w:tblW w:w="10201" w:type="dxa"/>
        <w:jc w:val="center"/>
        <w:tblLook w:val="04A0" w:firstRow="1" w:lastRow="0" w:firstColumn="1" w:lastColumn="0" w:noHBand="0" w:noVBand="1"/>
      </w:tblPr>
      <w:tblGrid>
        <w:gridCol w:w="5524"/>
        <w:gridCol w:w="4677"/>
      </w:tblGrid>
      <w:tr>
        <w:tblPrEx/>
        <w:trPr>
          <w:jc w:val="center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10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кредитов, планируемый к предоставлению (предоставленный) в периоде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период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сумма, тысяч рублей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01.01.20__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31.01.20__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01.02.20__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28.02.20__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01.03.20__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31.03.20__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01.04.20__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31.04.20__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01.05.20__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31.05.20__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01.06.20__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30.06.20__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01.07.20__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31.07.20__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01.08.20__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30.08.20__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01.09.20__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30.09.20__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01.10.20__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31.10.20__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01.11.20__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30.11.20__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01.12.20_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31.12.20__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10"/>
          <w:szCs w:val="28"/>
        </w:rPr>
      </w:r>
      <w:r>
        <w:rPr>
          <w:rFonts w:ascii="Times New Roman" w:hAnsi="Times New Roman" w:cs="Times New Roman"/>
          <w:sz w:val="10"/>
          <w:szCs w:val="28"/>
        </w:rPr>
      </w:r>
      <w:r>
        <w:rPr>
          <w:rFonts w:ascii="Times New Roman" w:hAnsi="Times New Roman" w:cs="Times New Roman"/>
          <w:sz w:val="1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8"/>
        </w:rPr>
        <w:t xml:space="preserve">кредитной организации</w:t>
      </w:r>
      <w:r>
        <w:rPr>
          <w:rFonts w:ascii="Times New Roman" w:hAnsi="Times New Roman" w:cs="Times New Roman"/>
          <w:sz w:val="20"/>
          <w:szCs w:val="28"/>
        </w:rPr>
        <w:t xml:space="preserve">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получала средства из областного бюджета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цели, установленные Порядком;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выражает согласие на публикацию (размещение) в информационно-телекоммуникационной сети «Интернет» информации о кредитной организации,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подаваемом предложении, иной информации о кредитной организации, связанной с проведением отбора для предоставления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выражает согласие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промышленности, торговли и развития предпринимательства Новосибирской области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проверок соблюдения условий и порядка предоставления субсидии,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статьями 268.1 и 269.2 Бюджетного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принимает обязательство по проверке соответствия заемщиков требованиям, установленным пунктом 19 Порядка, а также по осуществлению контроля за целевым использованием заемщиками предоставленных кредитных средств;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принимает обязательство о том, что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кредитный договор (соглашение)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период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должен предусматривать взимания с заемщика комиссий и сборов, иных платежей, за исключением платы за досрочное погашение кредита, а также штрафных санкций в случае неисполнения заемщиком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условий кредитного договора (соглашения).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 (________________________)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</w:t>
      </w:r>
      <w:r>
        <w:rPr>
          <w:rFonts w:ascii="Times New Roman" w:hAnsi="Times New Roman" w:cs="Times New Roman"/>
          <w:sz w:val="28"/>
          <w:szCs w:val="28"/>
        </w:rPr>
        <w:t xml:space="preserve">_______________ 20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 w:right="0" w:firstLine="0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№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промышленности, торговли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Заявление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20"/>
          <w:szCs w:val="24"/>
        </w:rPr>
        <w:t xml:space="preserve">(наименование кредитной организации)</w:t>
      </w: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0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10"/>
          <w:szCs w:val="24"/>
        </w:rPr>
      </w:r>
      <w:r>
        <w:rPr>
          <w:rFonts w:ascii="Times New Roman" w:hAnsi="Times New Roman" w:eastAsia="Calibri" w:cs="Times New Roman"/>
          <w:sz w:val="10"/>
          <w:szCs w:val="24"/>
        </w:rPr>
      </w:r>
      <w:r>
        <w:rPr>
          <w:rFonts w:ascii="Times New Roman" w:hAnsi="Times New Roman" w:eastAsia="Calibri" w:cs="Times New Roman"/>
          <w:sz w:val="10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на перечисление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собственность, </w:t>
      </w:r>
      <w:r>
        <w:rPr>
          <w:rFonts w:ascii="Times New Roman" w:hAnsi="Times New Roman" w:cs="Times New Roman"/>
          <w:sz w:val="28"/>
          <w:szCs w:val="28"/>
        </w:rPr>
        <w:t xml:space="preserve">на «___»_____________ 20___г.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0"/>
          <w:szCs w:val="24"/>
        </w:rPr>
      </w:pPr>
      <w:r>
        <w:rPr>
          <w:rFonts w:ascii="Times New Roman" w:hAnsi="Times New Roman" w:eastAsia="Calibri" w:cs="Times New Roman"/>
          <w:sz w:val="10"/>
          <w:szCs w:val="24"/>
        </w:rPr>
      </w:r>
      <w:r>
        <w:rPr>
          <w:rFonts w:ascii="Times New Roman" w:hAnsi="Times New Roman" w:eastAsia="Calibri" w:cs="Times New Roman"/>
          <w:sz w:val="10"/>
          <w:szCs w:val="24"/>
        </w:rPr>
      </w:r>
      <w:r>
        <w:rPr>
          <w:rFonts w:ascii="Times New Roman" w:hAnsi="Times New Roman" w:eastAsia="Calibri" w:cs="Times New Roman"/>
          <w:sz w:val="10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конец отчетного периода портфель кредитов, предоставленных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8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20"/>
          <w:szCs w:val="28"/>
        </w:rPr>
        <w:t xml:space="preserve">(наименование </w:t>
      </w:r>
      <w:r>
        <w:rPr>
          <w:rFonts w:ascii="Times New Roman" w:hAnsi="Times New Roman" w:eastAsia="Calibri" w:cs="Times New Roman"/>
          <w:sz w:val="20"/>
          <w:szCs w:val="28"/>
        </w:rPr>
        <w:t xml:space="preserve">кредитной </w:t>
      </w:r>
      <w:r>
        <w:rPr>
          <w:rFonts w:ascii="Times New Roman" w:hAnsi="Times New Roman" w:eastAsia="Calibri" w:cs="Times New Roman"/>
          <w:sz w:val="20"/>
          <w:szCs w:val="28"/>
        </w:rPr>
        <w:t xml:space="preserve">организации)</w:t>
      </w:r>
      <w:r>
        <w:rPr>
          <w:rFonts w:ascii="Times New Roman" w:hAnsi="Times New Roman" w:eastAsia="Calibri" w:cs="Times New Roman"/>
          <w:sz w:val="20"/>
          <w:szCs w:val="28"/>
        </w:rPr>
      </w:r>
      <w:r>
        <w:rPr>
          <w:rFonts w:ascii="Times New Roman" w:hAnsi="Times New Roman" w:eastAsia="Calibri" w:cs="Times New Roman"/>
          <w:sz w:val="20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0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10"/>
          <w:szCs w:val="24"/>
        </w:rPr>
      </w:r>
      <w:r>
        <w:rPr>
          <w:rFonts w:ascii="Times New Roman" w:hAnsi="Times New Roman" w:eastAsia="Calibri" w:cs="Times New Roman"/>
          <w:sz w:val="10"/>
          <w:szCs w:val="24"/>
        </w:rPr>
      </w:r>
      <w:r>
        <w:rPr>
          <w:rFonts w:ascii="Times New Roman" w:hAnsi="Times New Roman" w:eastAsia="Calibri" w:cs="Times New Roman"/>
          <w:sz w:val="10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субъектам малого и среднего предпринимательства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(приложение № 15 к постановлению Правительства Новосибирской области от 31.01.2017 № 14-п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«Об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«Развитие субъектов малого и среднего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предпринимательства 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подлежащих субсидированию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на основании соглашения о предоставлении субсидии от «___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_» ____________ 20___ г. № ______________, заключенного кредитной организацией с министерством промышленности, торговли и развития предпринимательства Новосибирской области, в соответствии с реестром заемщиков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составляет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___________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___ единиц.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14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                                                       </w:t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(количество кредитов)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ind w:firstLine="14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Общая сумма задолженности субъектов малого и среднего предпринимательства по кредитным договорам (соглашениям) на конец отчетного периода составляет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рублей</w:t>
      </w:r>
      <w:r>
        <w:rPr>
          <w:rStyle w:val="856"/>
          <w:rFonts w:ascii="Times New Roman" w:hAnsi="Times New Roman" w:eastAsia="Calibri" w:cs="Times New Roman"/>
          <w:sz w:val="28"/>
          <w:szCs w:val="28"/>
          <w:vertAlign w:val="baselin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103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0"/>
          <w:szCs w:val="28"/>
        </w:rPr>
        <w:t xml:space="preserve">(прописью)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10"/>
          <w:szCs w:val="28"/>
        </w:rPr>
      </w:pPr>
      <w:r>
        <w:rPr>
          <w:rFonts w:ascii="Times New Roman" w:hAnsi="Times New Roman" w:eastAsia="Calibri" w:cs="Times New Roman"/>
          <w:sz w:val="10"/>
          <w:szCs w:val="28"/>
        </w:rPr>
      </w:r>
      <w:r>
        <w:rPr>
          <w:rFonts w:ascii="Times New Roman" w:hAnsi="Times New Roman" w:eastAsia="Calibri" w:cs="Times New Roman"/>
          <w:sz w:val="10"/>
          <w:szCs w:val="28"/>
        </w:rPr>
      </w:r>
      <w:r>
        <w:rPr>
          <w:rFonts w:ascii="Times New Roman" w:hAnsi="Times New Roman" w:eastAsia="Calibri" w:cs="Times New Roman"/>
          <w:sz w:val="10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Общий размер субсидии к выплате за отчетный период составляет__________________________________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 рублей.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496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8"/>
        </w:rPr>
      </w:pPr>
      <w:r>
        <w:rPr>
          <w:rFonts w:ascii="Times New Roman" w:hAnsi="Times New Roman" w:eastAsia="Calibri" w:cs="Times New Roman"/>
          <w:sz w:val="20"/>
          <w:szCs w:val="28"/>
        </w:rPr>
        <w:t xml:space="preserve">(прописью)</w:t>
      </w:r>
      <w:r>
        <w:rPr>
          <w:rFonts w:ascii="Times New Roman" w:hAnsi="Times New Roman" w:eastAsia="Calibri" w:cs="Times New Roman"/>
          <w:sz w:val="20"/>
          <w:szCs w:val="28"/>
        </w:rPr>
      </w:r>
      <w:r>
        <w:rPr>
          <w:rFonts w:ascii="Times New Roman" w:hAnsi="Times New Roman" w:eastAsia="Calibri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Подтверждаю, что: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заемщики, указанные в реестре заемщиков, соответствуют требо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ваниям, установленным пунктом 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выявлено нецелевого использования предоставленных кредитных средств заемщиками, указанными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реестре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заемщиков.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________________ (_____________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832" w:firstLine="1137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eastAsia="Calibri" w:cs="Times New Roman"/>
          <w:sz w:val="20"/>
          <w:szCs w:val="20"/>
        </w:rPr>
        <w:t xml:space="preserve">(расшифровка подписи)</w:t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 (___________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2552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(подпись)                    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</w:t>
      </w:r>
      <w:r>
        <w:rPr>
          <w:rFonts w:ascii="Times New Roman" w:hAnsi="Times New Roman" w:cs="Times New Roman"/>
          <w:sz w:val="28"/>
          <w:szCs w:val="28"/>
        </w:rPr>
        <w:t xml:space="preserve">_______________ 20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>
            <w:numFmt w:val="decimal"/>
            <w:numRestart w:val="continuous"/>
            <w:numStart w:val="1"/>
            <w:pos w:val="pageBottom"/>
          </w:footnotePr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923"/>
        <w:jc w:val="center"/>
        <w:spacing w:after="0" w:afterAutospacing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№ 3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9921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4"/>
          <w:lang w:eastAsia="ru-RU"/>
        </w:rPr>
        <w:t xml:space="preserve">Реестр заемщиков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4"/>
          <w:lang w:eastAsia="ru-RU"/>
        </w:rPr>
        <w:t xml:space="preserve">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4"/>
          <w:lang w:eastAsia="ru-RU"/>
        </w:rPr>
        <w:t xml:space="preserve">«__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4"/>
          <w:lang w:eastAsia="ru-RU"/>
        </w:rPr>
        <w:t xml:space="preserve">____________20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4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4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15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3"/>
        <w:gridCol w:w="1400"/>
        <w:gridCol w:w="1009"/>
        <w:gridCol w:w="992"/>
        <w:gridCol w:w="1134"/>
        <w:gridCol w:w="1276"/>
        <w:gridCol w:w="1276"/>
        <w:gridCol w:w="1134"/>
        <w:gridCol w:w="1134"/>
        <w:gridCol w:w="1134"/>
        <w:gridCol w:w="1276"/>
        <w:gridCol w:w="1134"/>
        <w:gridCol w:w="1191"/>
        <w:gridCol w:w="975"/>
      </w:tblGrid>
      <w:tr>
        <w:tblPrEx/>
        <w:trPr>
          <w:trHeight w:val="464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4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Mar>
              <w:left w:w="28" w:type="dxa"/>
              <w:top w:w="85" w:type="dxa"/>
              <w:right w:w="28" w:type="dxa"/>
              <w:bottom w:w="85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Сведения о заемщике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8"/>
            <w:tcMar>
              <w:left w:w="28" w:type="dxa"/>
              <w:top w:w="85" w:type="dxa"/>
              <w:right w:w="28" w:type="dxa"/>
              <w:bottom w:w="85" w:type="dxa"/>
            </w:tcMar>
            <w:tcW w:w="925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Сведения о кредитном договоре (соглашении)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4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4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нование заем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0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ОКВЭД заемщика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катего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рия субъекта малого и среднего пред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место нахо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(место житель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ства)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щика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номер кредит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ного договора (согла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кредит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ного дого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вора (согла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предо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ставле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ния кредита заем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щику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 кредита по кредит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ному догово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 (согла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шению), месяцев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кредита по кредит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ному договору (согла-ше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нию), рублей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цель креди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сумма задол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женнос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ти по кредит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ному догово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 (согла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шению) на отчетную дату,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ствую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щая ставка по кредит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ному догово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 (согла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шению),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процен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9923"/>
        <w:jc w:val="center"/>
        <w:spacing w:after="0" w:afterAutospacing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№ 4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9921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российским кредитным организациям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Расчет суммы субсидии за____ квартал 20__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15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4"/>
        <w:gridCol w:w="2169"/>
        <w:gridCol w:w="1262"/>
        <w:gridCol w:w="1407"/>
        <w:gridCol w:w="1783"/>
        <w:gridCol w:w="1521"/>
        <w:gridCol w:w="1496"/>
        <w:gridCol w:w="1585"/>
        <w:gridCol w:w="1930"/>
        <w:gridCol w:w="1930"/>
      </w:tblGrid>
      <w:tr>
        <w:tblPrEx/>
        <w:trPr>
          <w:jc w:val="center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47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216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Полное наиме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нование заем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4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Номер и дата кредит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ного договора (согла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7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Сумма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среднеквартального остатка ссудной задолжен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ности заем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щика по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кредит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ному договору (соглаше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нию) за отчетный квартал, рассчитанная в соответствии с пунктом 26 Порядка,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5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Ставка субсиди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применя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емая по кредит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ному договору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(согла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шению), процен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4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дней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отчетном квартале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5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дней в отчетном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93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Расчет размера субсидии за отчетный период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((графа 5 х графа 6 х графа 7) / графа 8)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планиру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емых к предостав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лению субсидий в текущем финан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совом году, за исключе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нием субсидии за отчетный период, рублей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6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8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6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78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t xml:space="preserve">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</w:endnotePr>
      <w:type w:val="nextPage"/>
      <w:pgSz w:w="16838" w:h="11906" w:orient="landscape"/>
      <w:pgMar w:top="1417" w:right="1134" w:bottom="567" w:left="1134" w:header="68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 Math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2025-01-22T04:43:45Z</dcterms:modified>
</cp:coreProperties>
</file>