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954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 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954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 </w:t>
      </w:r>
      <w:r>
        <w:rPr>
          <w:rFonts w:ascii="Times New Roman" w:hAnsi="Times New Roman"/>
          <w:sz w:val="28"/>
          <w:szCs w:val="28"/>
        </w:rPr>
        <w:t xml:space="preserve">постановлени</w:t>
      </w:r>
      <w:r>
        <w:rPr>
          <w:rFonts w:ascii="Times New Roman" w:hAnsi="Times New Roman"/>
          <w:sz w:val="28"/>
          <w:szCs w:val="28"/>
        </w:rPr>
        <w:t xml:space="preserve">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Правительства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954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954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Start w:id="0" w:name="_GoBack"/>
      <w:r/>
      <w:bookmarkEnd w:id="0"/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954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ПОРЯДОК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определения органами местного самоуправления муниципальных образований Новосибирской области количества торговых мест на</w:t>
      </w:r>
      <w:r>
        <w:rPr>
          <w:rFonts w:ascii="Times New Roman" w:hAnsi="Times New Roman"/>
          <w:b/>
          <w:sz w:val="28"/>
          <w:szCs w:val="28"/>
        </w:rPr>
        <w:t xml:space="preserve"> </w:t>
      </w:r>
      <w:r>
        <w:rPr>
          <w:rFonts w:ascii="Times New Roman" w:hAnsi="Times New Roman"/>
          <w:b/>
          <w:sz w:val="28"/>
          <w:szCs w:val="28"/>
        </w:rPr>
        <w:t xml:space="preserve">универсальном розничном рынке на территории Новосибирской области, предоставляемых для осущес</w:t>
      </w:r>
      <w:r>
        <w:rPr>
          <w:rFonts w:ascii="Times New Roman" w:hAnsi="Times New Roman"/>
          <w:b/>
          <w:sz w:val="28"/>
          <w:szCs w:val="28"/>
        </w:rPr>
        <w:t xml:space="preserve">твления деятельности по продаже сельскохозяйственной продукции гражданами – главами крестьянских (фермерских) хозяйств, членами таких хозяйств, гражданами, ведущими личные подсобные хозяйства или занимающимися садоводством, огородничеством, животноводством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</w:t>
      </w:r>
      <w:r>
        <w:rPr>
          <w:rFonts w:ascii="Times New Roman" w:hAnsi="Times New Roman"/>
          <w:sz w:val="28"/>
          <w:szCs w:val="28"/>
        </w:rPr>
        <w:t xml:space="preserve">Настоящий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орядок </w:t>
      </w:r>
      <w:r>
        <w:rPr>
          <w:rFonts w:ascii="Times New Roman" w:hAnsi="Times New Roman"/>
          <w:sz w:val="28"/>
          <w:szCs w:val="28"/>
        </w:rPr>
        <w:t xml:space="preserve">устанавливает правила определения 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рганами местного самоуправления муниципальных образований Новосибирской области количества торговых мест на универсальном розничном рынке на территории Новосибирской области (далее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универсальный рынок), предоставляемых для осуществления деятельности по продаже сельскохозяйственной продукции гражданами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главами крестьянских (фермерских) хозяйств, членами таких хозяйств, гражданами, ведущими личные подсобные хозяйства или занимающимися садоводством, огородничеством, животноводством.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Количество торговых мест на каждом универсальном рынке, предоставляемых для осуществления деятельности по продаже сельскохозяйственной продукции гражданами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главами крестьянских (фермерских) хозяйств, членами таких хозяйств, гражданами, ведущими личные подсобные хозяйства или занимающимися садоводством, огородничеством, животноводством (далее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количество торговых мест на универсальном рынке), ежегодно определяется органами </w:t>
      </w:r>
      <w:r>
        <w:rPr>
          <w:rFonts w:ascii="Times New Roman" w:hAnsi="Times New Roman"/>
          <w:sz w:val="28"/>
          <w:szCs w:val="28"/>
        </w:rPr>
        <w:t xml:space="preserve">местного самоуправления муниципальных образований Новосибирской области и оформляется муниципальным правовым актом органа местного самоуправления муниципального образования Новосибирской области, на территории которого находится универсальный рынок (далее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муниципальный правовой акт).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Муниципальный правовой акт принимается до 1 декабря года, предшествующего году, на который определяется количество торгов</w:t>
      </w:r>
      <w:r>
        <w:rPr>
          <w:rFonts w:ascii="Times New Roman" w:hAnsi="Times New Roman"/>
          <w:sz w:val="28"/>
          <w:szCs w:val="28"/>
        </w:rPr>
        <w:t xml:space="preserve">ых мест на универсальном рынке.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Муниципальный правовой акт не позднее </w:t>
      </w:r>
      <w:r>
        <w:rPr>
          <w:rFonts w:ascii="Times New Roman" w:hAnsi="Times New Roman"/>
          <w:sz w:val="28"/>
          <w:szCs w:val="28"/>
        </w:rPr>
        <w:t xml:space="preserve">пяти</w:t>
      </w:r>
      <w:r>
        <w:rPr>
          <w:rFonts w:ascii="Times New Roman" w:hAnsi="Times New Roman"/>
          <w:sz w:val="28"/>
          <w:szCs w:val="28"/>
        </w:rPr>
        <w:t xml:space="preserve"> рабочих дней со дня принятия размещается </w:t>
      </w:r>
      <w:r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Интернет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официальном сайте органа местного самоуправления муниципального образования Новосибирской области, на территории которого находится универсальный рынок.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Количество торговых мест на универсальном рынке определяется исходя из необходимости обеспечения населения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Новосибирской области сельскохозяйственной продукцией и потребности в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торговых местах для реализации данной продукции гражданами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главами крестьянских (фермерских) хозяйств, членами таких хозяйств, гражданами, ведущими личные подсобные хозяйства или занимающимися садоводством, огородничеством, животноводством, с учетом требований к розничному рынку на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территории Новосибирской области, установленных федеральным законодательством и законодательством Новосибирской области.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Количество торговых мест на универсальном рынке </w:t>
      </w:r>
      <w:r>
        <w:rPr>
          <w:rFonts w:ascii="Times New Roman" w:hAnsi="Times New Roman"/>
          <w:sz w:val="28"/>
          <w:szCs w:val="28"/>
        </w:rPr>
        <w:t xml:space="preserve">определяется </w:t>
      </w:r>
      <w:r>
        <w:rPr>
          <w:rFonts w:ascii="Times New Roman" w:hAnsi="Times New Roman"/>
          <w:sz w:val="28"/>
          <w:szCs w:val="28"/>
        </w:rPr>
        <w:t xml:space="preserve">исходя из </w:t>
      </w:r>
      <w:r>
        <w:rPr>
          <w:rFonts w:ascii="Times New Roman" w:hAnsi="Times New Roman"/>
          <w:sz w:val="28"/>
          <w:szCs w:val="28"/>
        </w:rPr>
        <w:t xml:space="preserve">общего количества торговых мест на универсальном рынке и должно составлять </w:t>
      </w:r>
      <w:r>
        <w:rPr>
          <w:rFonts w:ascii="Times New Roman" w:hAnsi="Times New Roman"/>
          <w:sz w:val="28"/>
          <w:szCs w:val="28"/>
        </w:rPr>
        <w:t xml:space="preserve">не менее 10 процентов от общего количества торговых мест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7" w:h="16840" w:orient="portrait"/>
      <w:pgMar w:top="1134" w:right="567" w:bottom="1134" w:left="1418" w:header="720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Batang">
    <w:panose1 w:val="02000506000000020000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2101168631"/>
      <w:docPartObj>
        <w:docPartGallery w:val="Page Numbers (Top of Page)"/>
        <w:docPartUnique w:val="true"/>
      </w:docPartObj>
      <w:rPr>
        <w:sz w:val="20"/>
        <w:szCs w:val="20"/>
      </w:rPr>
    </w:sdtPr>
    <w:sdtContent>
      <w:p>
        <w:pPr>
          <w:pStyle w:val="868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2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</w:r>
        <w:r>
          <w:rPr>
            <w:sz w:val="20"/>
            <w:szCs w:val="20"/>
          </w:rPr>
        </w:r>
      </w:p>
    </w:sdtContent>
  </w:sdt>
  <w:p>
    <w:pPr>
      <w:pStyle w:val="868"/>
      <w:rPr>
        <w:sz w:val="20"/>
        <w:szCs w:val="20"/>
      </w:rPr>
    </w:pPr>
    <w:r>
      <w:rPr>
        <w:sz w:val="20"/>
        <w:szCs w:val="20"/>
      </w:rPr>
    </w:r>
    <w:r>
      <w:rPr>
        <w:sz w:val="20"/>
        <w:szCs w:val="20"/>
      </w:rPr>
    </w:r>
    <w:r>
      <w:rPr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Calibr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4">
    <w:name w:val="Heading 1"/>
    <w:basedOn w:val="858"/>
    <w:next w:val="858"/>
    <w:link w:val="68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5">
    <w:name w:val="Heading 1 Char"/>
    <w:basedOn w:val="859"/>
    <w:link w:val="684"/>
    <w:uiPriority w:val="9"/>
    <w:rPr>
      <w:rFonts w:ascii="Arial" w:hAnsi="Arial" w:eastAsia="Arial" w:cs="Arial"/>
      <w:sz w:val="40"/>
      <w:szCs w:val="40"/>
    </w:rPr>
  </w:style>
  <w:style w:type="paragraph" w:styleId="686">
    <w:name w:val="Heading 2"/>
    <w:basedOn w:val="858"/>
    <w:next w:val="858"/>
    <w:link w:val="68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7">
    <w:name w:val="Heading 2 Char"/>
    <w:basedOn w:val="859"/>
    <w:link w:val="686"/>
    <w:uiPriority w:val="9"/>
    <w:rPr>
      <w:rFonts w:ascii="Arial" w:hAnsi="Arial" w:eastAsia="Arial" w:cs="Arial"/>
      <w:sz w:val="34"/>
    </w:rPr>
  </w:style>
  <w:style w:type="paragraph" w:styleId="688">
    <w:name w:val="Heading 3"/>
    <w:basedOn w:val="858"/>
    <w:next w:val="858"/>
    <w:link w:val="68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9">
    <w:name w:val="Heading 3 Char"/>
    <w:basedOn w:val="859"/>
    <w:link w:val="688"/>
    <w:uiPriority w:val="9"/>
    <w:rPr>
      <w:rFonts w:ascii="Arial" w:hAnsi="Arial" w:eastAsia="Arial" w:cs="Arial"/>
      <w:sz w:val="30"/>
      <w:szCs w:val="30"/>
    </w:rPr>
  </w:style>
  <w:style w:type="paragraph" w:styleId="690">
    <w:name w:val="Heading 4"/>
    <w:basedOn w:val="858"/>
    <w:next w:val="858"/>
    <w:link w:val="69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1">
    <w:name w:val="Heading 4 Char"/>
    <w:basedOn w:val="859"/>
    <w:link w:val="690"/>
    <w:uiPriority w:val="9"/>
    <w:rPr>
      <w:rFonts w:ascii="Arial" w:hAnsi="Arial" w:eastAsia="Arial" w:cs="Arial"/>
      <w:b/>
      <w:bCs/>
      <w:sz w:val="26"/>
      <w:szCs w:val="26"/>
    </w:rPr>
  </w:style>
  <w:style w:type="paragraph" w:styleId="692">
    <w:name w:val="Heading 5"/>
    <w:basedOn w:val="858"/>
    <w:next w:val="858"/>
    <w:link w:val="69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3">
    <w:name w:val="Heading 5 Char"/>
    <w:basedOn w:val="859"/>
    <w:link w:val="692"/>
    <w:uiPriority w:val="9"/>
    <w:rPr>
      <w:rFonts w:ascii="Arial" w:hAnsi="Arial" w:eastAsia="Arial" w:cs="Arial"/>
      <w:b/>
      <w:bCs/>
      <w:sz w:val="24"/>
      <w:szCs w:val="24"/>
    </w:rPr>
  </w:style>
  <w:style w:type="paragraph" w:styleId="694">
    <w:name w:val="Heading 6"/>
    <w:basedOn w:val="858"/>
    <w:next w:val="858"/>
    <w:link w:val="6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5">
    <w:name w:val="Heading 6 Char"/>
    <w:basedOn w:val="859"/>
    <w:link w:val="694"/>
    <w:uiPriority w:val="9"/>
    <w:rPr>
      <w:rFonts w:ascii="Arial" w:hAnsi="Arial" w:eastAsia="Arial" w:cs="Arial"/>
      <w:b/>
      <w:bCs/>
      <w:sz w:val="22"/>
      <w:szCs w:val="22"/>
    </w:rPr>
  </w:style>
  <w:style w:type="paragraph" w:styleId="696">
    <w:name w:val="Heading 7"/>
    <w:basedOn w:val="858"/>
    <w:next w:val="858"/>
    <w:link w:val="69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7">
    <w:name w:val="Heading 7 Char"/>
    <w:basedOn w:val="859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8">
    <w:name w:val="Heading 8"/>
    <w:basedOn w:val="858"/>
    <w:next w:val="858"/>
    <w:link w:val="69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9">
    <w:name w:val="Heading 8 Char"/>
    <w:basedOn w:val="859"/>
    <w:link w:val="698"/>
    <w:uiPriority w:val="9"/>
    <w:rPr>
      <w:rFonts w:ascii="Arial" w:hAnsi="Arial" w:eastAsia="Arial" w:cs="Arial"/>
      <w:i/>
      <w:iCs/>
      <w:sz w:val="22"/>
      <w:szCs w:val="22"/>
    </w:rPr>
  </w:style>
  <w:style w:type="paragraph" w:styleId="700">
    <w:name w:val="Heading 9"/>
    <w:basedOn w:val="858"/>
    <w:next w:val="858"/>
    <w:link w:val="70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1">
    <w:name w:val="Heading 9 Char"/>
    <w:basedOn w:val="859"/>
    <w:link w:val="700"/>
    <w:uiPriority w:val="9"/>
    <w:rPr>
      <w:rFonts w:ascii="Arial" w:hAnsi="Arial" w:eastAsia="Arial" w:cs="Arial"/>
      <w:i/>
      <w:iCs/>
      <w:sz w:val="21"/>
      <w:szCs w:val="21"/>
    </w:rPr>
  </w:style>
  <w:style w:type="paragraph" w:styleId="702">
    <w:name w:val="No Spacing"/>
    <w:uiPriority w:val="1"/>
    <w:qFormat/>
    <w:pPr>
      <w:spacing w:before="0" w:after="0" w:line="240" w:lineRule="auto"/>
    </w:pPr>
  </w:style>
  <w:style w:type="paragraph" w:styleId="703">
    <w:name w:val="Title"/>
    <w:basedOn w:val="858"/>
    <w:next w:val="858"/>
    <w:link w:val="70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4">
    <w:name w:val="Title Char"/>
    <w:basedOn w:val="859"/>
    <w:link w:val="703"/>
    <w:uiPriority w:val="10"/>
    <w:rPr>
      <w:sz w:val="48"/>
      <w:szCs w:val="48"/>
    </w:rPr>
  </w:style>
  <w:style w:type="paragraph" w:styleId="705">
    <w:name w:val="Subtitle"/>
    <w:basedOn w:val="858"/>
    <w:next w:val="858"/>
    <w:link w:val="706"/>
    <w:uiPriority w:val="11"/>
    <w:qFormat/>
    <w:pPr>
      <w:spacing w:before="200" w:after="200"/>
    </w:pPr>
    <w:rPr>
      <w:sz w:val="24"/>
      <w:szCs w:val="24"/>
    </w:rPr>
  </w:style>
  <w:style w:type="character" w:styleId="706">
    <w:name w:val="Subtitle Char"/>
    <w:basedOn w:val="859"/>
    <w:link w:val="705"/>
    <w:uiPriority w:val="11"/>
    <w:rPr>
      <w:sz w:val="24"/>
      <w:szCs w:val="24"/>
    </w:rPr>
  </w:style>
  <w:style w:type="paragraph" w:styleId="707">
    <w:name w:val="Quote"/>
    <w:basedOn w:val="858"/>
    <w:next w:val="858"/>
    <w:link w:val="708"/>
    <w:uiPriority w:val="29"/>
    <w:qFormat/>
    <w:pPr>
      <w:ind w:left="720" w:right="720"/>
    </w:pPr>
    <w:rPr>
      <w:i/>
    </w:rPr>
  </w:style>
  <w:style w:type="character" w:styleId="708">
    <w:name w:val="Quote Char"/>
    <w:link w:val="707"/>
    <w:uiPriority w:val="29"/>
    <w:rPr>
      <w:i/>
    </w:rPr>
  </w:style>
  <w:style w:type="paragraph" w:styleId="709">
    <w:name w:val="Intense Quote"/>
    <w:basedOn w:val="858"/>
    <w:next w:val="858"/>
    <w:link w:val="71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0">
    <w:name w:val="Intense Quote Char"/>
    <w:link w:val="709"/>
    <w:uiPriority w:val="30"/>
    <w:rPr>
      <w:i/>
    </w:rPr>
  </w:style>
  <w:style w:type="character" w:styleId="711">
    <w:name w:val="Header Char"/>
    <w:basedOn w:val="859"/>
    <w:link w:val="868"/>
    <w:uiPriority w:val="99"/>
  </w:style>
  <w:style w:type="character" w:styleId="712">
    <w:name w:val="Footer Char"/>
    <w:basedOn w:val="859"/>
    <w:link w:val="865"/>
    <w:uiPriority w:val="99"/>
  </w:style>
  <w:style w:type="paragraph" w:styleId="713">
    <w:name w:val="Caption"/>
    <w:basedOn w:val="858"/>
    <w:next w:val="8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4">
    <w:name w:val="Caption Char"/>
    <w:basedOn w:val="713"/>
    <w:link w:val="865"/>
    <w:uiPriority w:val="99"/>
  </w:style>
  <w:style w:type="table" w:styleId="715">
    <w:name w:val="Table Grid Light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Plain Table 1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>
    <w:name w:val="Grid Table 4 - Accent 1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4">
    <w:name w:val="Grid Table 4 - Accent 2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5">
    <w:name w:val="Grid Table 4 - Accent 3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6">
    <w:name w:val="Grid Table 4 - Accent 4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7">
    <w:name w:val="Grid Table 4 - Accent 5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8">
    <w:name w:val="Grid Table 4 - Accent 6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9">
    <w:name w:val="Grid Table 5 Dark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6">
    <w:name w:val="Grid Table 6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7">
    <w:name w:val="Grid Table 6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8">
    <w:name w:val="Grid Table 6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9">
    <w:name w:val="Grid Table 6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0">
    <w:name w:val="Grid Table 6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1">
    <w:name w:val="Grid Table 6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6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7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8">
    <w:name w:val="List Table 2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9">
    <w:name w:val="List Table 2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0">
    <w:name w:val="List Table 2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1">
    <w:name w:val="List Table 2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2">
    <w:name w:val="List Table 2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3">
    <w:name w:val="List Table 2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6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6">
    <w:name w:val="List Table 6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7">
    <w:name w:val="List Table 6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8">
    <w:name w:val="List Table 6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9">
    <w:name w:val="List Table 6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0">
    <w:name w:val="List Table 6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1">
    <w:name w:val="List Table 6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2">
    <w:name w:val="List Table 7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3">
    <w:name w:val="List Table 7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4">
    <w:name w:val="List Table 7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5">
    <w:name w:val="List Table 7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6">
    <w:name w:val="List Table 7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7">
    <w:name w:val="List Table 7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8">
    <w:name w:val="List Table 7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9">
    <w:name w:val="Lined - Accent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Lined - Accent 1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Lined - Accent 2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Lined - Accent 3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Lined - Accent 4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Lined - Accent 5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Lined - Accent 6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 &amp; Lined - Accent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Bordered &amp; Lined - Accent 1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8">
    <w:name w:val="Bordered &amp; Lined - Accent 2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9">
    <w:name w:val="Bordered &amp; Lined - Accent 3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0">
    <w:name w:val="Bordered &amp; Lined - Accent 4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1">
    <w:name w:val="Bordered &amp; Lined - Accent 5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2">
    <w:name w:val="Bordered &amp; Lined - Accent 6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3">
    <w:name w:val="Bordered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4">
    <w:name w:val="Bordered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5">
    <w:name w:val="Bordered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6">
    <w:name w:val="Bordered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7">
    <w:name w:val="Bordered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8">
    <w:name w:val="Bordered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9">
    <w:name w:val="Bordered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0">
    <w:name w:val="Hyperlink"/>
    <w:uiPriority w:val="99"/>
    <w:unhideWhenUsed/>
    <w:rPr>
      <w:color w:val="0000ff" w:themeColor="hyperlink"/>
      <w:u w:val="single"/>
    </w:rPr>
  </w:style>
  <w:style w:type="paragraph" w:styleId="841">
    <w:name w:val="footnote text"/>
    <w:basedOn w:val="858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>
    <w:name w:val="Footnote Text Char"/>
    <w:link w:val="841"/>
    <w:uiPriority w:val="99"/>
    <w:rPr>
      <w:sz w:val="18"/>
    </w:rPr>
  </w:style>
  <w:style w:type="character" w:styleId="843">
    <w:name w:val="footnote reference"/>
    <w:basedOn w:val="859"/>
    <w:uiPriority w:val="99"/>
    <w:unhideWhenUsed/>
    <w:rPr>
      <w:vertAlign w:val="superscript"/>
    </w:rPr>
  </w:style>
  <w:style w:type="paragraph" w:styleId="844">
    <w:name w:val="endnote text"/>
    <w:basedOn w:val="858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>
    <w:name w:val="Endnote Text Char"/>
    <w:link w:val="844"/>
    <w:uiPriority w:val="99"/>
    <w:rPr>
      <w:sz w:val="20"/>
    </w:rPr>
  </w:style>
  <w:style w:type="character" w:styleId="846">
    <w:name w:val="endnote reference"/>
    <w:basedOn w:val="859"/>
    <w:uiPriority w:val="99"/>
    <w:semiHidden/>
    <w:unhideWhenUsed/>
    <w:rPr>
      <w:vertAlign w:val="superscript"/>
    </w:rPr>
  </w:style>
  <w:style w:type="paragraph" w:styleId="847">
    <w:name w:val="toc 1"/>
    <w:basedOn w:val="858"/>
    <w:next w:val="858"/>
    <w:uiPriority w:val="39"/>
    <w:unhideWhenUsed/>
    <w:pPr>
      <w:ind w:left="0" w:right="0" w:firstLine="0"/>
      <w:spacing w:after="57"/>
    </w:pPr>
  </w:style>
  <w:style w:type="paragraph" w:styleId="848">
    <w:name w:val="toc 2"/>
    <w:basedOn w:val="858"/>
    <w:next w:val="858"/>
    <w:uiPriority w:val="39"/>
    <w:unhideWhenUsed/>
    <w:pPr>
      <w:ind w:left="283" w:right="0" w:firstLine="0"/>
      <w:spacing w:after="57"/>
    </w:pPr>
  </w:style>
  <w:style w:type="paragraph" w:styleId="849">
    <w:name w:val="toc 3"/>
    <w:basedOn w:val="858"/>
    <w:next w:val="858"/>
    <w:uiPriority w:val="39"/>
    <w:unhideWhenUsed/>
    <w:pPr>
      <w:ind w:left="567" w:right="0" w:firstLine="0"/>
      <w:spacing w:after="57"/>
    </w:pPr>
  </w:style>
  <w:style w:type="paragraph" w:styleId="850">
    <w:name w:val="toc 4"/>
    <w:basedOn w:val="858"/>
    <w:next w:val="858"/>
    <w:uiPriority w:val="39"/>
    <w:unhideWhenUsed/>
    <w:pPr>
      <w:ind w:left="850" w:right="0" w:firstLine="0"/>
      <w:spacing w:after="57"/>
    </w:pPr>
  </w:style>
  <w:style w:type="paragraph" w:styleId="851">
    <w:name w:val="toc 5"/>
    <w:basedOn w:val="858"/>
    <w:next w:val="858"/>
    <w:uiPriority w:val="39"/>
    <w:unhideWhenUsed/>
    <w:pPr>
      <w:ind w:left="1134" w:right="0" w:firstLine="0"/>
      <w:spacing w:after="57"/>
    </w:pPr>
  </w:style>
  <w:style w:type="paragraph" w:styleId="852">
    <w:name w:val="toc 6"/>
    <w:basedOn w:val="858"/>
    <w:next w:val="858"/>
    <w:uiPriority w:val="39"/>
    <w:unhideWhenUsed/>
    <w:pPr>
      <w:ind w:left="1417" w:right="0" w:firstLine="0"/>
      <w:spacing w:after="57"/>
    </w:pPr>
  </w:style>
  <w:style w:type="paragraph" w:styleId="853">
    <w:name w:val="toc 7"/>
    <w:basedOn w:val="858"/>
    <w:next w:val="858"/>
    <w:uiPriority w:val="39"/>
    <w:unhideWhenUsed/>
    <w:pPr>
      <w:ind w:left="1701" w:right="0" w:firstLine="0"/>
      <w:spacing w:after="57"/>
    </w:pPr>
  </w:style>
  <w:style w:type="paragraph" w:styleId="854">
    <w:name w:val="toc 8"/>
    <w:basedOn w:val="858"/>
    <w:next w:val="858"/>
    <w:uiPriority w:val="39"/>
    <w:unhideWhenUsed/>
    <w:pPr>
      <w:ind w:left="1984" w:right="0" w:firstLine="0"/>
      <w:spacing w:after="57"/>
    </w:pPr>
  </w:style>
  <w:style w:type="paragraph" w:styleId="855">
    <w:name w:val="toc 9"/>
    <w:basedOn w:val="858"/>
    <w:next w:val="858"/>
    <w:uiPriority w:val="39"/>
    <w:unhideWhenUsed/>
    <w:pPr>
      <w:ind w:left="2268" w:right="0" w:firstLine="0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qFormat/>
    <w:rPr>
      <w:rFonts w:cs="Times New Roman"/>
    </w:rPr>
  </w:style>
  <w:style w:type="character" w:styleId="859" w:default="1">
    <w:name w:val="Default Paragraph Font"/>
    <w:uiPriority w:val="1"/>
    <w:semiHidden/>
    <w:unhideWhenUsed/>
  </w:style>
  <w:style w:type="table" w:styleId="86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1" w:default="1">
    <w:name w:val="No List"/>
    <w:uiPriority w:val="99"/>
    <w:semiHidden/>
    <w:unhideWhenUsed/>
  </w:style>
  <w:style w:type="paragraph" w:styleId="862">
    <w:name w:val="Balloon Text"/>
    <w:basedOn w:val="858"/>
    <w:link w:val="863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63" w:customStyle="1">
    <w:name w:val="Текст выноски Знак"/>
    <w:basedOn w:val="859"/>
    <w:link w:val="862"/>
    <w:uiPriority w:val="99"/>
    <w:semiHidden/>
    <w:rPr>
      <w:rFonts w:ascii="Tahoma" w:hAnsi="Tahoma" w:cs="Tahoma"/>
      <w:sz w:val="16"/>
      <w:szCs w:val="16"/>
    </w:rPr>
  </w:style>
  <w:style w:type="paragraph" w:styleId="864" w:customStyle="1">
    <w:name w:val="ConsPlusTitle"/>
    <w:uiPriority w:val="99"/>
    <w:pPr>
      <w:spacing w:after="0" w:line="240" w:lineRule="auto"/>
      <w:widowControl w:val="off"/>
    </w:pPr>
    <w:rPr>
      <w:rFonts w:ascii="Times New Roman" w:hAnsi="Times New Roman" w:cs="Times New Roman"/>
      <w:b/>
      <w:bCs/>
      <w:sz w:val="24"/>
      <w:szCs w:val="24"/>
    </w:rPr>
  </w:style>
  <w:style w:type="paragraph" w:styleId="865">
    <w:name w:val="Footer"/>
    <w:basedOn w:val="858"/>
    <w:link w:val="866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4"/>
      <w:szCs w:val="24"/>
    </w:rPr>
  </w:style>
  <w:style w:type="character" w:styleId="866" w:customStyle="1">
    <w:name w:val="Нижний колонтитул Знак"/>
    <w:basedOn w:val="859"/>
    <w:link w:val="865"/>
    <w:uiPriority w:val="99"/>
    <w:rPr>
      <w:rFonts w:ascii="Times New Roman" w:hAnsi="Times New Roman" w:cs="Times New Roman"/>
      <w:sz w:val="24"/>
      <w:szCs w:val="24"/>
    </w:rPr>
  </w:style>
  <w:style w:type="character" w:styleId="867">
    <w:name w:val="page number"/>
    <w:basedOn w:val="859"/>
    <w:uiPriority w:val="99"/>
    <w:rPr>
      <w:rFonts w:cs="Times New Roman"/>
    </w:rPr>
  </w:style>
  <w:style w:type="paragraph" w:styleId="868">
    <w:name w:val="Header"/>
    <w:basedOn w:val="858"/>
    <w:link w:val="869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4"/>
      <w:szCs w:val="24"/>
    </w:rPr>
  </w:style>
  <w:style w:type="character" w:styleId="869" w:customStyle="1">
    <w:name w:val="Верхний колонтитул Знак"/>
    <w:basedOn w:val="859"/>
    <w:link w:val="868"/>
    <w:uiPriority w:val="99"/>
    <w:rPr>
      <w:rFonts w:ascii="Times New Roman" w:hAnsi="Times New Roman" w:cs="Times New Roman"/>
      <w:sz w:val="24"/>
      <w:szCs w:val="24"/>
    </w:rPr>
  </w:style>
  <w:style w:type="table" w:styleId="870">
    <w:name w:val="Table Grid"/>
    <w:basedOn w:val="860"/>
    <w:uiPriority w:val="99"/>
    <w:pPr>
      <w:spacing w:after="0" w:line="240" w:lineRule="auto"/>
    </w:pPr>
    <w:rPr>
      <w:rFonts w:ascii="Times New Roman" w:hAnsi="Times New Roman" w:eastAsia="Batang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71" w:customStyle="1">
    <w:name w:val="Сетка таблицы1"/>
    <w:uiPriority w:val="99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72">
    <w:name w:val="List Paragraph"/>
    <w:basedOn w:val="858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Дробышева Наталья Геннадьевна</dc:creator>
  <cp:revision>17</cp:revision>
  <dcterms:created xsi:type="dcterms:W3CDTF">2016-01-25T05:31:00Z</dcterms:created>
  <dcterms:modified xsi:type="dcterms:W3CDTF">2025-02-25T09:10:42Z</dcterms:modified>
</cp:coreProperties>
</file>