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внесении изменений в постановление Правительства Новосибирской области от</w:t>
      </w:r>
      <w:r>
        <w:rPr>
          <w:sz w:val="28"/>
          <w:szCs w:val="28"/>
        </w:rPr>
        <w:t xml:space="preserve"> 19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383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30.12.2006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271-ФЗ 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розничных рынках и о внесении изменений в Трудовой кодекс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19.08.202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383-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предоставлении торговых мест на розничных рынках </w:t>
      </w:r>
      <w:r>
        <w:rPr>
          <w:sz w:val="28"/>
          <w:szCs w:val="28"/>
        </w:rPr>
      </w:r>
      <w:r>
        <w:rPr>
          <w:sz w:val="28"/>
          <w:szCs w:val="28"/>
        </w:rPr>
        <w:t xml:space="preserve">на территории Новосибирской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постановление)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пункте 4 </w:t>
      </w:r>
      <w:r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 xml:space="preserve">слова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или занимающимися садоводством, огородничеством, животноводством</w:t>
      </w:r>
      <w:r>
        <w:rPr>
          <w:sz w:val="28"/>
          <w:szCs w:val="28"/>
        </w:rPr>
        <w:t xml:space="preserve">» заменить словами «либо садоводство или огородничество для собственных нужд».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приложении № 1 к постановлению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Порядок заключения договора о предоставлении торгового места на розничном рынке на территории Новосибирской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пункте 2 после слов «</w:t>
      </w:r>
      <w:r>
        <w:rPr>
          <w:rFonts w:ascii="Times New Roman" w:hAnsi="Times New Roman"/>
          <w:sz w:val="28"/>
          <w:szCs w:val="28"/>
        </w:rPr>
        <w:t xml:space="preserve">постановлени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дополнить словами «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 19</w:t>
      </w:r>
      <w:r>
        <w:rPr>
          <w:sz w:val="28"/>
          <w:szCs w:val="28"/>
        </w:rPr>
        <w:t xml:space="preserve">.08.202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383-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в пункте 3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или занимающимися садоводством, огородничеством, животноводством</w:t>
      </w:r>
      <w:r>
        <w:rPr>
          <w:sz w:val="28"/>
          <w:szCs w:val="28"/>
        </w:rPr>
        <w:t xml:space="preserve">» заменить словами «либо садоводство или огородничество для собственных нужд»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в абзаце «в» подпункта 1 пункта 6</w:t>
      </w:r>
      <w:r>
        <w:rPr>
          <w:sz w:val="28"/>
          <w:szCs w:val="28"/>
        </w:rPr>
        <w:t xml:space="preserve">, абзаце «б» подпункта 3</w:t>
      </w:r>
      <w:r>
        <w:rPr>
          <w:sz w:val="28"/>
          <w:szCs w:val="28"/>
        </w:rPr>
        <w:t xml:space="preserve"> пункта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или занятие садоводством, огородничеством, животноводством</w:t>
      </w:r>
      <w:r>
        <w:rPr>
          <w:sz w:val="28"/>
          <w:szCs w:val="28"/>
        </w:rPr>
        <w:t xml:space="preserve">» заменить словами «либо ведение </w:t>
      </w:r>
      <w:r>
        <w:rPr>
          <w:sz w:val="28"/>
          <w:szCs w:val="28"/>
        </w:rPr>
        <w:t xml:space="preserve">садоводств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или огородничеств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для собственных нужд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</w:t>
      </w:r>
      <w:r>
        <w:rPr>
          <w:sz w:val="28"/>
          <w:szCs w:val="28"/>
        </w:rPr>
        <w:t xml:space="preserve">в пункте 11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или занимающимися садоводством, огородничеством, животноводством</w:t>
      </w:r>
      <w:r>
        <w:rPr>
          <w:sz w:val="28"/>
          <w:szCs w:val="28"/>
        </w:rPr>
        <w:t xml:space="preserve">» заменить словами «либо садоводство или огородничество для собственных нужд».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приложении № 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Упрощенный порядок предоставления торговых мест на сельскохозяйственном и сельскохозяйственном кооперативном розничных рынках на территории Новосибирской области</w:t>
      </w:r>
      <w:r>
        <w:rPr>
          <w:sz w:val="28"/>
          <w:szCs w:val="28"/>
        </w:rPr>
        <w:t xml:space="preserve">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пункте 3 слова «</w:t>
      </w:r>
      <w:r>
        <w:rPr>
          <w:sz w:val="28"/>
          <w:szCs w:val="28"/>
        </w:rPr>
        <w:t xml:space="preserve">или занимающимся садоводством, огородничеством, животноводством</w:t>
      </w:r>
      <w:r>
        <w:rPr>
          <w:sz w:val="28"/>
          <w:szCs w:val="28"/>
        </w:rPr>
        <w:t xml:space="preserve">» заменить словами «либо садоводство или огородничество для собственных нужд»;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абзаце «в» подпункта 1 пункта 6, </w:t>
      </w:r>
      <w:r>
        <w:rPr>
          <w:sz w:val="28"/>
          <w:szCs w:val="28"/>
        </w:rPr>
        <w:t xml:space="preserve">абзаце «б» подпункта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пункта 7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или занятие садоводством, огородничеством, животноводством</w:t>
      </w:r>
      <w:r>
        <w:rPr>
          <w:sz w:val="28"/>
          <w:szCs w:val="28"/>
        </w:rPr>
        <w:t xml:space="preserve">» заменить словами «либо ведение </w:t>
      </w:r>
      <w:r>
        <w:rPr>
          <w:sz w:val="28"/>
          <w:szCs w:val="28"/>
        </w:rPr>
        <w:t xml:space="preserve">садоводств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или огородничеств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для собственных нужд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слова «или занимающихся садоводством, огородничеством, животноводством» заменить словами «либо садоводство или огородничество для собственных нужд»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</w:t>
      </w:r>
      <w:r>
        <w:rPr>
          <w:sz w:val="28"/>
          <w:szCs w:val="28"/>
        </w:rPr>
        <w:t xml:space="preserve">в подпункте 2 пункта 13 слова</w:t>
      </w:r>
      <w:r>
        <w:t xml:space="preserve"> </w:t>
      </w:r>
      <w:r>
        <w:rPr>
          <w:sz w:val="28"/>
          <w:szCs w:val="28"/>
        </w:rPr>
        <w:t xml:space="preserve">«или занимающимся садоводством, огородничеством, животноводством» заменить словами «либо садоводство или огородничество для собственных нужд»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</w:t>
      </w:r>
      <w:r>
        <w:rPr>
          <w:sz w:val="28"/>
          <w:szCs w:val="28"/>
        </w:rPr>
        <w:t xml:space="preserve">в абзаце «в» подпункта 1 пункта 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абзаце «б» подпункта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слова «или занятие садоводством, огородничеством, животноводством» заменить словами «либо ведение садоводства или огоро</w:t>
      </w:r>
      <w:r>
        <w:rPr>
          <w:sz w:val="28"/>
          <w:szCs w:val="28"/>
        </w:rPr>
        <w:t xml:space="preserve">дничества для собственных нужд».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</w:t>
      </w:r>
      <w:r>
        <w:rPr>
          <w:sz w:val="28"/>
          <w:szCs w:val="28"/>
        </w:rPr>
        <w:t xml:space="preserve">В наименовании, пунктах 1, 2, 5 приложени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№ 4 к постановлению «Поряд</w:t>
      </w:r>
      <w:r>
        <w:rPr>
          <w:sz w:val="28"/>
          <w:szCs w:val="28"/>
        </w:rPr>
        <w:t xml:space="preserve">ок определения органами местного самоуправления муниципальных образований Новосибирской области количества торговых мест на универсальном розничном рынке на территории Новосибирской области, предоставляемых для осуществления деятельности по продаже сельско</w:t>
      </w:r>
      <w:r>
        <w:rPr>
          <w:sz w:val="28"/>
          <w:szCs w:val="28"/>
        </w:rPr>
        <w:t xml:space="preserve">хозяйственной продукции гражданами –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животноводством» слова «или занимающимися садоводством</w:t>
      </w:r>
      <w:r>
        <w:rPr>
          <w:sz w:val="28"/>
          <w:szCs w:val="28"/>
        </w:rPr>
        <w:t xml:space="preserve">, огородничеством, животноводством» заменить словами «либо садоводство или огородничество для собственных нужд».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 Новосибирской 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А.А. </w:t>
      </w:r>
      <w:r>
        <w:rPr>
          <w:sz w:val="28"/>
          <w:szCs w:val="28"/>
        </w:rPr>
        <w:t xml:space="preserve">Травников</w:t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t xml:space="preserve">Д.Е. </w:t>
      </w:r>
      <w:r>
        <w:t xml:space="preserve">Рягузов</w:t>
      </w:r>
      <w:r/>
    </w:p>
    <w:p>
      <w:pPr>
        <w:jc w:val="both"/>
      </w:pPr>
      <w:r>
        <w:t xml:space="preserve">238 61 60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5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0"/>
    <w:link w:val="871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0"/>
    <w:link w:val="872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0"/>
    <w:link w:val="873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0"/>
    <w:link w:val="874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0"/>
    <w:link w:val="875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0"/>
    <w:link w:val="876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0"/>
    <w:link w:val="8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0"/>
    <w:link w:val="878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0"/>
    <w:link w:val="879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0"/>
    <w:next w:val="870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80"/>
    <w:link w:val="71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80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80"/>
    <w:link w:val="895"/>
    <w:uiPriority w:val="99"/>
  </w:style>
  <w:style w:type="character" w:styleId="725">
    <w:name w:val="Footer Char"/>
    <w:basedOn w:val="880"/>
    <w:link w:val="904"/>
    <w:uiPriority w:val="99"/>
  </w:style>
  <w:style w:type="paragraph" w:styleId="726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04"/>
    <w:uiPriority w:val="99"/>
  </w:style>
  <w:style w:type="table" w:styleId="728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80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80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1">
    <w:name w:val="Heading 1"/>
    <w:basedOn w:val="870"/>
    <w:next w:val="870"/>
    <w:link w:val="88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2">
    <w:name w:val="Heading 2"/>
    <w:basedOn w:val="870"/>
    <w:next w:val="870"/>
    <w:link w:val="88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3">
    <w:name w:val="Heading 3"/>
    <w:basedOn w:val="870"/>
    <w:next w:val="870"/>
    <w:link w:val="88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4">
    <w:name w:val="Heading 4"/>
    <w:basedOn w:val="870"/>
    <w:next w:val="870"/>
    <w:link w:val="88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5">
    <w:name w:val="Heading 5"/>
    <w:basedOn w:val="870"/>
    <w:next w:val="870"/>
    <w:link w:val="88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6">
    <w:name w:val="Heading 6"/>
    <w:basedOn w:val="870"/>
    <w:next w:val="870"/>
    <w:link w:val="88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7">
    <w:name w:val="Heading 7"/>
    <w:basedOn w:val="870"/>
    <w:next w:val="870"/>
    <w:link w:val="88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8">
    <w:name w:val="Heading 8"/>
    <w:basedOn w:val="870"/>
    <w:next w:val="870"/>
    <w:link w:val="89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9">
    <w:name w:val="Heading 9"/>
    <w:basedOn w:val="870"/>
    <w:next w:val="870"/>
    <w:link w:val="89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 w:customStyle="1">
    <w:name w:val="Заголовок 1 Знак"/>
    <w:basedOn w:val="880"/>
    <w:link w:val="871"/>
    <w:uiPriority w:val="99"/>
    <w:rPr>
      <w:rFonts w:ascii="Cambria" w:hAnsi="Cambria" w:cs="Times New Roman"/>
      <w:b/>
      <w:bCs/>
      <w:sz w:val="32"/>
      <w:szCs w:val="32"/>
    </w:rPr>
  </w:style>
  <w:style w:type="character" w:styleId="884" w:customStyle="1">
    <w:name w:val="Заголовок 2 Знак"/>
    <w:basedOn w:val="880"/>
    <w:link w:val="87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5" w:customStyle="1">
    <w:name w:val="Заголовок 3 Знак"/>
    <w:basedOn w:val="880"/>
    <w:link w:val="87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6" w:customStyle="1">
    <w:name w:val="Заголовок 4 Знак"/>
    <w:basedOn w:val="880"/>
    <w:link w:val="87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7" w:customStyle="1">
    <w:name w:val="Заголовок 5 Знак"/>
    <w:basedOn w:val="880"/>
    <w:link w:val="87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8" w:customStyle="1">
    <w:name w:val="Заголовок 6 Знак"/>
    <w:basedOn w:val="880"/>
    <w:link w:val="876"/>
    <w:uiPriority w:val="99"/>
    <w:semiHidden/>
    <w:rPr>
      <w:rFonts w:ascii="Calibri" w:hAnsi="Calibri" w:cs="Times New Roman"/>
      <w:b/>
      <w:bCs/>
    </w:rPr>
  </w:style>
  <w:style w:type="character" w:styleId="889" w:customStyle="1">
    <w:name w:val="Заголовок 7 Знак"/>
    <w:basedOn w:val="880"/>
    <w:link w:val="877"/>
    <w:uiPriority w:val="99"/>
    <w:semiHidden/>
    <w:rPr>
      <w:rFonts w:ascii="Calibri" w:hAnsi="Calibri" w:cs="Times New Roman"/>
      <w:sz w:val="24"/>
      <w:szCs w:val="24"/>
    </w:rPr>
  </w:style>
  <w:style w:type="character" w:styleId="890" w:customStyle="1">
    <w:name w:val="Заголовок 8 Знак"/>
    <w:basedOn w:val="880"/>
    <w:link w:val="87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1" w:customStyle="1">
    <w:name w:val="Заголовок 9 Знак"/>
    <w:basedOn w:val="880"/>
    <w:link w:val="879"/>
    <w:uiPriority w:val="99"/>
    <w:semiHidden/>
    <w:rPr>
      <w:rFonts w:ascii="Cambria" w:hAnsi="Cambria" w:cs="Times New Roman"/>
    </w:rPr>
  </w:style>
  <w:style w:type="paragraph" w:styleId="892" w:customStyle="1">
    <w:name w:val="заголовок 1"/>
    <w:basedOn w:val="870"/>
    <w:next w:val="87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3" w:customStyle="1">
    <w:name w:val="заголовок 2"/>
    <w:basedOn w:val="870"/>
    <w:next w:val="870"/>
    <w:uiPriority w:val="99"/>
    <w:pPr>
      <w:jc w:val="center"/>
      <w:keepNext/>
      <w:outlineLvl w:val="1"/>
    </w:pPr>
    <w:rPr>
      <w:sz w:val="28"/>
      <w:szCs w:val="28"/>
    </w:rPr>
  </w:style>
  <w:style w:type="character" w:styleId="894" w:customStyle="1">
    <w:name w:val="Основной шрифт"/>
    <w:uiPriority w:val="99"/>
  </w:style>
  <w:style w:type="paragraph" w:styleId="895">
    <w:name w:val="Header"/>
    <w:basedOn w:val="870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Верхний колонтитул Знак"/>
    <w:basedOn w:val="880"/>
    <w:link w:val="895"/>
    <w:uiPriority w:val="99"/>
    <w:rPr>
      <w:rFonts w:cs="Times New Roman"/>
      <w:sz w:val="20"/>
      <w:szCs w:val="20"/>
    </w:rPr>
  </w:style>
  <w:style w:type="character" w:styleId="897" w:customStyle="1">
    <w:name w:val="номер страницы"/>
    <w:basedOn w:val="894"/>
    <w:uiPriority w:val="99"/>
    <w:rPr>
      <w:rFonts w:cs="Times New Roman"/>
    </w:rPr>
  </w:style>
  <w:style w:type="paragraph" w:styleId="898">
    <w:name w:val="Body Text"/>
    <w:basedOn w:val="870"/>
    <w:link w:val="899"/>
    <w:uiPriority w:val="99"/>
    <w:pPr>
      <w:jc w:val="both"/>
    </w:pPr>
    <w:rPr>
      <w:sz w:val="28"/>
      <w:szCs w:val="28"/>
    </w:rPr>
  </w:style>
  <w:style w:type="character" w:styleId="899" w:customStyle="1">
    <w:name w:val="Основной текст Знак"/>
    <w:basedOn w:val="880"/>
    <w:link w:val="898"/>
    <w:uiPriority w:val="99"/>
    <w:semiHidden/>
    <w:rPr>
      <w:rFonts w:cs="Times New Roman"/>
      <w:sz w:val="20"/>
      <w:szCs w:val="20"/>
    </w:rPr>
  </w:style>
  <w:style w:type="paragraph" w:styleId="900">
    <w:name w:val="Body Text 2"/>
    <w:basedOn w:val="870"/>
    <w:link w:val="901"/>
    <w:uiPriority w:val="99"/>
    <w:pPr>
      <w:jc w:val="both"/>
    </w:pPr>
    <w:rPr>
      <w:sz w:val="28"/>
      <w:szCs w:val="28"/>
    </w:rPr>
  </w:style>
  <w:style w:type="character" w:styleId="901" w:customStyle="1">
    <w:name w:val="Основной текст 2 Знак"/>
    <w:basedOn w:val="880"/>
    <w:link w:val="900"/>
    <w:uiPriority w:val="99"/>
    <w:semiHidden/>
    <w:rPr>
      <w:rFonts w:cs="Times New Roman"/>
      <w:sz w:val="20"/>
      <w:szCs w:val="20"/>
    </w:rPr>
  </w:style>
  <w:style w:type="paragraph" w:styleId="902">
    <w:name w:val="Body Text Indent 2"/>
    <w:basedOn w:val="870"/>
    <w:link w:val="903"/>
    <w:uiPriority w:val="99"/>
    <w:pPr>
      <w:ind w:firstLine="709"/>
      <w:jc w:val="both"/>
    </w:pPr>
    <w:rPr>
      <w:sz w:val="28"/>
      <w:szCs w:val="28"/>
    </w:rPr>
  </w:style>
  <w:style w:type="character" w:styleId="903" w:customStyle="1">
    <w:name w:val="Основной текст с отступом 2 Знак"/>
    <w:basedOn w:val="880"/>
    <w:link w:val="902"/>
    <w:uiPriority w:val="99"/>
    <w:semiHidden/>
    <w:rPr>
      <w:rFonts w:cs="Times New Roman"/>
      <w:sz w:val="20"/>
      <w:szCs w:val="20"/>
    </w:rPr>
  </w:style>
  <w:style w:type="paragraph" w:styleId="904">
    <w:name w:val="Footer"/>
    <w:basedOn w:val="870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905" w:customStyle="1">
    <w:name w:val="Нижний колонтитул Знак"/>
    <w:basedOn w:val="880"/>
    <w:link w:val="904"/>
    <w:uiPriority w:val="99"/>
    <w:rPr>
      <w:rFonts w:cs="Times New Roman"/>
      <w:sz w:val="20"/>
      <w:szCs w:val="20"/>
    </w:rPr>
  </w:style>
  <w:style w:type="paragraph" w:styleId="906">
    <w:name w:val="Body Text Indent 3"/>
    <w:basedOn w:val="870"/>
    <w:link w:val="90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7" w:customStyle="1">
    <w:name w:val="Основной текст с отступом 3 Знак"/>
    <w:basedOn w:val="880"/>
    <w:link w:val="906"/>
    <w:uiPriority w:val="99"/>
    <w:semiHidden/>
    <w:rPr>
      <w:rFonts w:cs="Times New Roman"/>
      <w:sz w:val="16"/>
      <w:szCs w:val="16"/>
    </w:rPr>
  </w:style>
  <w:style w:type="paragraph" w:styleId="908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9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0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1">
    <w:name w:val="Table Grid"/>
    <w:basedOn w:val="88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2">
    <w:name w:val="Body Text Indent"/>
    <w:basedOn w:val="870"/>
    <w:link w:val="913"/>
    <w:uiPriority w:val="99"/>
    <w:pPr>
      <w:ind w:left="283"/>
      <w:spacing w:after="120"/>
    </w:pPr>
  </w:style>
  <w:style w:type="character" w:styleId="913" w:customStyle="1">
    <w:name w:val="Основной текст с отступом Знак"/>
    <w:basedOn w:val="880"/>
    <w:link w:val="912"/>
    <w:uiPriority w:val="99"/>
    <w:semiHidden/>
    <w:rPr>
      <w:rFonts w:cs="Times New Roman"/>
      <w:sz w:val="20"/>
      <w:szCs w:val="20"/>
    </w:rPr>
  </w:style>
  <w:style w:type="paragraph" w:styleId="914">
    <w:name w:val="Balloon Text"/>
    <w:basedOn w:val="870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basedOn w:val="880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6">
    <w:name w:val="page number"/>
    <w:basedOn w:val="880"/>
    <w:uiPriority w:val="99"/>
    <w:rPr>
      <w:rFonts w:cs="Times New Roman"/>
    </w:rPr>
  </w:style>
  <w:style w:type="table" w:styleId="91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9">
    <w:name w:val="Hyperlink"/>
    <w:basedOn w:val="880"/>
    <w:uiPriority w:val="99"/>
    <w:semiHidden/>
    <w:unhideWhenUsed/>
    <w:rPr>
      <w:rFonts w:cs="Times New Roman"/>
      <w:color w:val="0000ff"/>
      <w:u w:val="single"/>
    </w:rPr>
  </w:style>
  <w:style w:type="paragraph" w:styleId="920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21">
    <w:name w:val="List Paragraph"/>
    <w:basedOn w:val="87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10C40D-5D16-44D3-92F2-3D2FBF83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29</cp:revision>
  <dcterms:created xsi:type="dcterms:W3CDTF">2016-01-25T05:11:00Z</dcterms:created>
  <dcterms:modified xsi:type="dcterms:W3CDTF">2025-08-20T04:44:03Z</dcterms:modified>
</cp:coreProperties>
</file>