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19.03.2014 N 104-п</w:t>
              <w:br/>
              <w:t xml:space="preserve">(ред. от 28.11.2023)</w:t>
              <w:br/>
              <w:t xml:space="preserve">"О государственной поддержке инвестиционной деятельности, осуществляемой в форме капитальных вложений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25.12.2024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марта 2014 г. N 104-п</w:t>
      </w:r>
    </w:p>
    <w:p>
      <w:pPr>
        <w:pStyle w:val="2"/>
        <w:jc w:val="center"/>
      </w:pPr>
      <w:r>
        <w:rPr>
          <w:sz w:val="20"/>
        </w:rPr>
      </w:r>
    </w:p>
    <w:p>
      <w:pPr>
        <w:pStyle w:val="2"/>
        <w:jc w:val="center"/>
      </w:pPr>
      <w:r>
        <w:rPr>
          <w:sz w:val="20"/>
        </w:rPr>
        <w:t xml:space="preserve">О ГОСУДАРСТВЕННОЙ ПОДДЕРЖКЕ ИНВЕСТИЦИОННОЙ ДЕЯТЕЛЬНОСТИ,</w:t>
      </w:r>
    </w:p>
    <w:p>
      <w:pPr>
        <w:pStyle w:val="2"/>
        <w:jc w:val="center"/>
      </w:pPr>
      <w:r>
        <w:rPr>
          <w:sz w:val="20"/>
        </w:rPr>
        <w:t xml:space="preserve">ОСУЩЕСТВЛЯЕМОЙ В ФОРМЕ КАПИТАЛЬНЫХ ВЛОЖЕНИЙ</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04.08.2014 </w:t>
            </w:r>
            <w:hyperlink w:history="0" r:id="rId7" w:tooltip="Постановление Правительства Новосибирской области от 04.08.2014 N 323-п &quot;О внесении изменений в постановление Правительства Новосибирской области от 19.03.2014 N 104-п&quot; {КонсультантПлюс}">
              <w:r>
                <w:rPr>
                  <w:sz w:val="20"/>
                  <w:color w:val="0000ff"/>
                </w:rPr>
                <w:t xml:space="preserve">N 323-п</w:t>
              </w:r>
            </w:hyperlink>
            <w:r>
              <w:rPr>
                <w:sz w:val="20"/>
                <w:color w:val="392c69"/>
              </w:rPr>
              <w:t xml:space="preserve">, от 31.12.2014 </w:t>
            </w:r>
            <w:hyperlink w:history="0" r:id="rId8" w:tooltip="Постановление Правительства Новосибирской области от 31.12.2014 N 575-п &quot;О внесении изменений в постановление Правительства Новосибирской области от 19.03.2014 N 104-п&quot; {КонсультантПлюс}">
              <w:r>
                <w:rPr>
                  <w:sz w:val="20"/>
                  <w:color w:val="0000ff"/>
                </w:rPr>
                <w:t xml:space="preserve">N 575-п</w:t>
              </w:r>
            </w:hyperlink>
            <w:r>
              <w:rPr>
                <w:sz w:val="20"/>
                <w:color w:val="392c69"/>
              </w:rPr>
              <w:t xml:space="preserve">, от 14.09.2015 </w:t>
            </w:r>
            <w:hyperlink w:history="0" r:id="rId9" w:tooltip="Постановление Правительства Новосибирской области от 14.09.2015 N 341-п &quot;О внесении изменений в постановление Правительства Новосибирской области от 19.03.2014 N 104-п&quot; {КонсультантПлюс}">
              <w:r>
                <w:rPr>
                  <w:sz w:val="20"/>
                  <w:color w:val="0000ff"/>
                </w:rPr>
                <w:t xml:space="preserve">N 341-п</w:t>
              </w:r>
            </w:hyperlink>
            <w:r>
              <w:rPr>
                <w:sz w:val="20"/>
                <w:color w:val="392c69"/>
              </w:rPr>
              <w:t xml:space="preserve">,</w:t>
            </w:r>
          </w:p>
          <w:p>
            <w:pPr>
              <w:pStyle w:val="0"/>
              <w:jc w:val="center"/>
            </w:pPr>
            <w:r>
              <w:rPr>
                <w:sz w:val="20"/>
                <w:color w:val="392c69"/>
              </w:rPr>
              <w:t xml:space="preserve">от 02.11.2015 </w:t>
            </w:r>
            <w:hyperlink w:history="0" r:id="rId10" w:tooltip="Постановление Правительства Новосибирской области от 02.11.2015 N 397-п &quot;О внесении изменений в постановление Правительства Новосибирской области от 19.03.2014 N 104-п&quot; {КонсультантПлюс}">
              <w:r>
                <w:rPr>
                  <w:sz w:val="20"/>
                  <w:color w:val="0000ff"/>
                </w:rPr>
                <w:t xml:space="preserve">N 397-п</w:t>
              </w:r>
            </w:hyperlink>
            <w:r>
              <w:rPr>
                <w:sz w:val="20"/>
                <w:color w:val="392c69"/>
              </w:rPr>
              <w:t xml:space="preserve">, от 15.03.2016 </w:t>
            </w:r>
            <w:hyperlink w:history="0" r:id="rId11" w:tooltip="Постановление Правительства Новосибирской области от 15.03.2016 N 66-п &quot;О внесении изменений в постановление Правительства Новосибирской области от 19.03.2014 N 104-п&quot; {КонсультантПлюс}">
              <w:r>
                <w:rPr>
                  <w:sz w:val="20"/>
                  <w:color w:val="0000ff"/>
                </w:rPr>
                <w:t xml:space="preserve">N 66-п</w:t>
              </w:r>
            </w:hyperlink>
            <w:r>
              <w:rPr>
                <w:sz w:val="20"/>
                <w:color w:val="392c69"/>
              </w:rPr>
              <w:t xml:space="preserve">, от 27.09.2016 </w:t>
            </w:r>
            <w:hyperlink w:history="0" r:id="rId12" w:tooltip="Постановление Правительства Новосибирской области от 27.09.2016 N 310-п &quot;О внесении изменений в постановление Правительства Новосибирской области от 19.03.2014 N 104-п&quot; {КонсультантПлюс}">
              <w:r>
                <w:rPr>
                  <w:sz w:val="20"/>
                  <w:color w:val="0000ff"/>
                </w:rPr>
                <w:t xml:space="preserve">N 310-п</w:t>
              </w:r>
            </w:hyperlink>
            <w:r>
              <w:rPr>
                <w:sz w:val="20"/>
                <w:color w:val="392c69"/>
              </w:rPr>
              <w:t xml:space="preserve">,</w:t>
            </w:r>
          </w:p>
          <w:p>
            <w:pPr>
              <w:pStyle w:val="0"/>
              <w:jc w:val="center"/>
            </w:pPr>
            <w:r>
              <w:rPr>
                <w:sz w:val="20"/>
                <w:color w:val="392c69"/>
              </w:rPr>
              <w:t xml:space="preserve">от 15.11.2016 </w:t>
            </w:r>
            <w:hyperlink w:history="0" r:id="rId13" w:tooltip="Постановление Правительства Новосибирской области от 15.11.2016 N 372-п &quot;О внесении изменения в постановление Правительства Новосибирской области от 19.03.2014 N 104-п&quot; {КонсультантПлюс}">
              <w:r>
                <w:rPr>
                  <w:sz w:val="20"/>
                  <w:color w:val="0000ff"/>
                </w:rPr>
                <w:t xml:space="preserve">N 372-п</w:t>
              </w:r>
            </w:hyperlink>
            <w:r>
              <w:rPr>
                <w:sz w:val="20"/>
                <w:color w:val="392c69"/>
              </w:rPr>
              <w:t xml:space="preserve">, от 11.07.2017 </w:t>
            </w:r>
            <w:hyperlink w:history="0" r:id="rId14" w:tooltip="Постановление Правительства Новосибирской области от 11.07.2017 N 274-п &quot;О внесении изменений в постановление Правительства Новосибирской области от 19.03.2014 N 104-п&quot; {КонсультантПлюс}">
              <w:r>
                <w:rPr>
                  <w:sz w:val="20"/>
                  <w:color w:val="0000ff"/>
                </w:rPr>
                <w:t xml:space="preserve">N 274-п</w:t>
              </w:r>
            </w:hyperlink>
            <w:r>
              <w:rPr>
                <w:sz w:val="20"/>
                <w:color w:val="392c69"/>
              </w:rPr>
              <w:t xml:space="preserve">, от 28.04.2018 </w:t>
            </w:r>
            <w:hyperlink w:history="0" r:id="rId15" w:tooltip="Постановление Правительства Новосибирской области от 28.04.2018 N 169-п &quot;О внесении изменений в постановление Правительства Новосибирской области от 19.03.2014 N 104-п&quot; {КонсультантПлюс}">
              <w:r>
                <w:rPr>
                  <w:sz w:val="20"/>
                  <w:color w:val="0000ff"/>
                </w:rPr>
                <w:t xml:space="preserve">N 169-п</w:t>
              </w:r>
            </w:hyperlink>
            <w:r>
              <w:rPr>
                <w:sz w:val="20"/>
                <w:color w:val="392c69"/>
              </w:rPr>
              <w:t xml:space="preserve">,</w:t>
            </w:r>
          </w:p>
          <w:p>
            <w:pPr>
              <w:pStyle w:val="0"/>
              <w:jc w:val="center"/>
            </w:pPr>
            <w:r>
              <w:rPr>
                <w:sz w:val="20"/>
                <w:color w:val="392c69"/>
              </w:rPr>
              <w:t xml:space="preserve">от 25.09.2018 </w:t>
            </w:r>
            <w:hyperlink w:history="0" r:id="rId16" w:tooltip="Постановление Правительства Новосибирской области от 25.09.2018 N 401-п &quot;О внесении изменений в постановление Правительства Новосибирской области от 19.03.2014 N 104-п&quot; {КонсультантПлюс}">
              <w:r>
                <w:rPr>
                  <w:sz w:val="20"/>
                  <w:color w:val="0000ff"/>
                </w:rPr>
                <w:t xml:space="preserve">N 401-п</w:t>
              </w:r>
            </w:hyperlink>
            <w:r>
              <w:rPr>
                <w:sz w:val="20"/>
                <w:color w:val="392c69"/>
              </w:rPr>
              <w:t xml:space="preserve">, от 21.08.2019 </w:t>
            </w:r>
            <w:hyperlink w:history="0" r:id="rId17"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18.05.2020 </w:t>
            </w:r>
            <w:hyperlink w:history="0" r:id="rId18"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color w:val="392c69"/>
              </w:rPr>
              <w:t xml:space="preserve">,</w:t>
            </w:r>
          </w:p>
          <w:p>
            <w:pPr>
              <w:pStyle w:val="0"/>
              <w:jc w:val="center"/>
            </w:pPr>
            <w:r>
              <w:rPr>
                <w:sz w:val="20"/>
                <w:color w:val="392c69"/>
              </w:rPr>
              <w:t xml:space="preserve">от 22.06.2021 </w:t>
            </w:r>
            <w:hyperlink w:history="0" r:id="rId19"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 от 28.09.2021 </w:t>
            </w:r>
            <w:hyperlink w:history="0" r:id="rId20" w:tooltip="Постановление Правительства Новосибирской области от 28.09.2021 N 389-п &quot;О внесении изменений в отдельные постановления Правительства Новосибирской области&quot; {КонсультантПлюс}">
              <w:r>
                <w:rPr>
                  <w:sz w:val="20"/>
                  <w:color w:val="0000ff"/>
                </w:rPr>
                <w:t xml:space="preserve">N 389-п</w:t>
              </w:r>
            </w:hyperlink>
            <w:r>
              <w:rPr>
                <w:sz w:val="20"/>
                <w:color w:val="392c69"/>
              </w:rPr>
              <w:t xml:space="preserve">, от 28.03.2023 </w:t>
            </w:r>
            <w:hyperlink w:history="0" r:id="rId2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w:t>
            </w:r>
          </w:p>
          <w:p>
            <w:pPr>
              <w:pStyle w:val="0"/>
              <w:jc w:val="center"/>
            </w:pPr>
            <w:r>
              <w:rPr>
                <w:sz w:val="20"/>
                <w:color w:val="392c69"/>
              </w:rPr>
              <w:t xml:space="preserve">от 25.07.2023 </w:t>
            </w:r>
            <w:hyperlink w:history="0" r:id="rId22"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 от 17.10.2023 </w:t>
            </w:r>
            <w:hyperlink w:history="0" r:id="rId23"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28.11.2023 </w:t>
            </w:r>
            <w:hyperlink w:history="0" r:id="rId24"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N 544-п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2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Законом</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 целях стимулирования инвестиционной деятельности и обеспечения эффективного использования бюджетных средств, направляемых на предоставление государственной поддержки инвестиционной деятельности, Правительство Новосибирской области постановляет:</w:t>
      </w:r>
    </w:p>
    <w:p>
      <w:pPr>
        <w:pStyle w:val="0"/>
        <w:jc w:val="both"/>
      </w:pPr>
      <w:r>
        <w:rPr>
          <w:sz w:val="20"/>
        </w:rPr>
        <w:t xml:space="preserve">(в ред. </w:t>
      </w:r>
      <w:hyperlink w:history="0" r:id="rId26" w:tooltip="Постановление Правительства Новосибирской области от 27.09.2016 N 310-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27.09.2016 N 310-п)</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 </w:t>
      </w:r>
      <w:hyperlink w:history="0" w:anchor="P55" w:tooltip="ПОРЯДОК">
        <w:r>
          <w:rPr>
            <w:sz w:val="20"/>
            <w:color w:val="0000ff"/>
          </w:rPr>
          <w:t xml:space="preserve">Порядок</w:t>
        </w:r>
      </w:hyperlink>
      <w:r>
        <w:rPr>
          <w:sz w:val="20"/>
        </w:rPr>
        <w:t xml:space="preserve"> организации и проведения конкурса инвестиционных проектов на территории Новосибирской области;</w:t>
      </w:r>
    </w:p>
    <w:p>
      <w:pPr>
        <w:pStyle w:val="0"/>
        <w:spacing w:before="200" w:line-rule="auto"/>
        <w:ind w:firstLine="540"/>
        <w:jc w:val="both"/>
      </w:pPr>
      <w:r>
        <w:rPr>
          <w:sz w:val="20"/>
        </w:rPr>
        <w:t xml:space="preserve">2) </w:t>
      </w:r>
      <w:hyperlink w:history="0" w:anchor="P733" w:tooltip="ПОРЯДОК">
        <w:r>
          <w:rPr>
            <w:sz w:val="20"/>
            <w:color w:val="0000ff"/>
          </w:rPr>
          <w:t xml:space="preserve">Порядок</w:t>
        </w:r>
      </w:hyperlink>
      <w:r>
        <w:rPr>
          <w:sz w:val="20"/>
        </w:rP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pPr>
        <w:pStyle w:val="0"/>
        <w:jc w:val="both"/>
      </w:pPr>
      <w:r>
        <w:rPr>
          <w:sz w:val="20"/>
        </w:rPr>
        <w:t xml:space="preserve">(Порядок утратил силу. - </w:t>
      </w:r>
      <w:hyperlink w:history="0" r:id="rId27"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21.08.2019 N 340-п)</w:t>
      </w:r>
    </w:p>
    <w:p>
      <w:pPr>
        <w:pStyle w:val="0"/>
        <w:spacing w:before="200" w:line-rule="auto"/>
        <w:ind w:firstLine="540"/>
        <w:jc w:val="both"/>
      </w:pPr>
      <w:r>
        <w:rPr>
          <w:sz w:val="20"/>
        </w:rPr>
        <w:t xml:space="preserve">3) </w:t>
      </w:r>
      <w:hyperlink w:history="0" w:anchor="P750" w:tooltip="ПОЛОЖЕНИЕ">
        <w:r>
          <w:rPr>
            <w:sz w:val="20"/>
            <w:color w:val="0000ff"/>
          </w:rPr>
          <w:t xml:space="preserve">Положение</w:t>
        </w:r>
      </w:hyperlink>
      <w:r>
        <w:rPr>
          <w:sz w:val="20"/>
        </w:rPr>
        <w:t xml:space="preserve"> о комиссии по проведению конкурса инвестиционных проектов на территории Новосибирской области и ее </w:t>
      </w:r>
      <w:hyperlink w:history="0" w:anchor="P838" w:tooltip="СОСТАВ">
        <w:r>
          <w:rPr>
            <w:sz w:val="20"/>
            <w:color w:val="0000ff"/>
          </w:rPr>
          <w:t xml:space="preserve">состав</w:t>
        </w:r>
      </w:hyperlink>
      <w:r>
        <w:rPr>
          <w:sz w:val="20"/>
        </w:rPr>
        <w:t xml:space="preserve">;</w:t>
      </w:r>
    </w:p>
    <w:p>
      <w:pPr>
        <w:pStyle w:val="0"/>
        <w:spacing w:before="200" w:line-rule="auto"/>
        <w:ind w:firstLine="540"/>
        <w:jc w:val="both"/>
      </w:pPr>
      <w:r>
        <w:rPr>
          <w:sz w:val="20"/>
        </w:rPr>
        <w:t xml:space="preserve">4) </w:t>
      </w:r>
      <w:hyperlink w:history="0" w:anchor="P916" w:tooltip="ПОРЯДОК">
        <w:r>
          <w:rPr>
            <w:sz w:val="20"/>
            <w:color w:val="0000ff"/>
          </w:rPr>
          <w:t xml:space="preserve">Порядок</w:t>
        </w:r>
      </w:hyperlink>
      <w:r>
        <w:rPr>
          <w:sz w:val="20"/>
        </w:rPr>
        <w:t xml:space="preserve"> проведения экспертизы инвестиционных проектов, претендующих на получение государственной поддержки инвестиционной деятельности;</w:t>
      </w:r>
    </w:p>
    <w:p>
      <w:pPr>
        <w:pStyle w:val="0"/>
        <w:spacing w:before="200" w:line-rule="auto"/>
        <w:ind w:firstLine="540"/>
        <w:jc w:val="both"/>
      </w:pPr>
      <w:r>
        <w:rPr>
          <w:sz w:val="20"/>
        </w:rPr>
        <w:t xml:space="preserve">5) </w:t>
      </w:r>
      <w:hyperlink w:history="0" w:anchor="P975" w:tooltip="ПОРЯДОК">
        <w:r>
          <w:rPr>
            <w:sz w:val="20"/>
            <w:color w:val="0000ff"/>
          </w:rPr>
          <w:t xml:space="preserve">Порядок</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pPr>
        <w:pStyle w:val="0"/>
        <w:spacing w:before="200" w:line-rule="auto"/>
        <w:ind w:firstLine="540"/>
        <w:jc w:val="both"/>
      </w:pPr>
      <w:r>
        <w:rPr>
          <w:sz w:val="20"/>
        </w:rPr>
        <w:t xml:space="preserve">2. Министерству экономического развития Новосибирской области (Решетников Л.Н.) обеспечить организацию и проведение конкурсов инвестиционных проектов, проведение экспертизы инвестиционных проектов, претендующих на получение государственной поддержки инвестиционной деятельности, и контроль за эффективностью мер государственной поддержки инвестиционной деятельности.</w:t>
      </w:r>
    </w:p>
    <w:p>
      <w:pPr>
        <w:pStyle w:val="0"/>
        <w:jc w:val="both"/>
      </w:pPr>
      <w:r>
        <w:rPr>
          <w:sz w:val="20"/>
        </w:rPr>
        <w:t xml:space="preserve">(в ред. постановлений Правительства Новосибирской области от 31.12.2014 </w:t>
      </w:r>
      <w:hyperlink w:history="0" r:id="rId28" w:tooltip="Постановление Правительства Новосибирской области от 31.12.2014 N 575-п &quot;О внесении изменений в постановление Правительства Новосибирской области от 19.03.2014 N 104-п&quot; {КонсультантПлюс}">
        <w:r>
          <w:rPr>
            <w:sz w:val="20"/>
            <w:color w:val="0000ff"/>
          </w:rPr>
          <w:t xml:space="preserve">N 575-п</w:t>
        </w:r>
      </w:hyperlink>
      <w:r>
        <w:rPr>
          <w:sz w:val="20"/>
        </w:rPr>
        <w:t xml:space="preserve">, от 18.05.2020 </w:t>
      </w:r>
      <w:hyperlink w:history="0" r:id="rId29"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rPr>
        <w:t xml:space="preserve">)</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30" w:tooltip="Постановление Правительства Новосибирской области от 30.08.2010 N 114-п (ред. от 13.11.2013) &quot;Об организации и проведении конкурса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30.08.2010 N 114-п "Об организации и проведении конкурса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w:t>
      </w:r>
    </w:p>
    <w:p>
      <w:pPr>
        <w:pStyle w:val="0"/>
        <w:spacing w:before="200" w:line-rule="auto"/>
        <w:ind w:firstLine="540"/>
        <w:jc w:val="both"/>
      </w:pPr>
      <w:r>
        <w:rPr>
          <w:sz w:val="20"/>
        </w:rPr>
        <w:t xml:space="preserve">2) </w:t>
      </w:r>
      <w:hyperlink w:history="0" r:id="rId31" w:tooltip="Постановление Правительства Новосибирской области от 11.04.2011 N 144-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11.04.2011 N 144-п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3) </w:t>
      </w:r>
      <w:hyperlink w:history="0" r:id="rId32" w:tooltip="Постановление Правительства Новосибирской области от 29.09.2011 N 426-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29.09.2011 N 426-п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4) </w:t>
      </w:r>
      <w:hyperlink w:history="0" r:id="rId33" w:tooltip="Постановление Правительства Новосибирской области от 28.12.2011 N 613-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28.12.2011 N 613-п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5) </w:t>
      </w:r>
      <w:hyperlink w:history="0" r:id="rId34" w:tooltip="Постановление Правительства Новосибирской области от 21.05.2013 N 226-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21.05.2013 N 226-п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6) </w:t>
      </w:r>
      <w:hyperlink w:history="0" r:id="rId35" w:tooltip="Постановление Правительства Новосибирской области от 08.07.2013 N 288-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08.07.2013 N 288-п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7) </w:t>
      </w:r>
      <w:hyperlink w:history="0" r:id="rId36" w:tooltip="Постановление Правительства Новосибирской области от 13.11.2013 N 486-п &quot;О внесении изменений в постановление Правительства Новосибирской области от 30.08.2010 N 11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13.11.2013 N 486-п "О внесении изменений в постановление Правительства Новосибирской области от 30.08.2010 N 114-п";</w:t>
      </w:r>
    </w:p>
    <w:p>
      <w:pPr>
        <w:pStyle w:val="0"/>
        <w:spacing w:before="200" w:line-rule="auto"/>
        <w:ind w:firstLine="540"/>
        <w:jc w:val="both"/>
      </w:pPr>
      <w:r>
        <w:rPr>
          <w:sz w:val="20"/>
        </w:rPr>
        <w:t xml:space="preserve">8) </w:t>
      </w:r>
      <w:hyperlink w:history="0" r:id="rId37" w:tooltip="Постановление Правительства Новосибирской области от 07.06.2010 N 31-п &quot;Об утверждении Порядка осуществления контроля за эффективностью мер государственной поддержки инвестиционной деятельности на территории Новосибирской области и ходом реализации инвестиционных проектов&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07.06.2010 N 31-п "Об утверждении порядка осуществления контроля за эффективностью мер государственной поддержки инвестиционной деятельности на территории Новосибирской области и ходом реализации инвестиционных проектов";</w:t>
      </w:r>
    </w:p>
    <w:p>
      <w:pPr>
        <w:pStyle w:val="0"/>
        <w:spacing w:before="200" w:line-rule="auto"/>
        <w:ind w:firstLine="540"/>
        <w:jc w:val="both"/>
      </w:pPr>
      <w:r>
        <w:rPr>
          <w:sz w:val="20"/>
        </w:rPr>
        <w:t xml:space="preserve">9) </w:t>
      </w:r>
      <w:hyperlink w:history="0" r:id="rId38" w:tooltip="Постановление Правительства Новосибирской области от 06.08.2013 N 340-п &quot;Об утверждении Положения о порядке проведения экспертизы инвестиционных проектов, претендующих на получение государственной поддержки инвестиционной деятельности, осуществляемой в форме капитальных вложений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06.08.2013 N 340-п "Об утверждении Положения о порядке проведения экспертизы инвестиционных проектов, претендующих на получение государственной поддержки инвестиционной деятельности, осуществляемой в форме капитальных вложений на территории Новосибирской области".</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jc w:val="both"/>
      </w:pPr>
      <w:r>
        <w:rPr>
          <w:sz w:val="20"/>
        </w:rPr>
        <w:t xml:space="preserve">(в ред. постановлений Правительства Новосибирской области от 28.04.2018 </w:t>
      </w:r>
      <w:hyperlink w:history="0" r:id="rId39" w:tooltip="Постановление Правительства Новосибирской области от 28.04.2018 N 169-п &quot;О внесении изменений в постановление Правительства Новосибирской области от 19.03.2014 N 104-п&quot; {КонсультантПлюс}">
        <w:r>
          <w:rPr>
            <w:sz w:val="20"/>
            <w:color w:val="0000ff"/>
          </w:rPr>
          <w:t xml:space="preserve">N 169-п</w:t>
        </w:r>
      </w:hyperlink>
      <w:r>
        <w:rPr>
          <w:sz w:val="20"/>
        </w:rPr>
        <w:t xml:space="preserve">, от 21.08.2019 </w:t>
      </w:r>
      <w:hyperlink w:history="0" r:id="rId40"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rPr>
        <w:t xml:space="preserve">)</w:t>
      </w:r>
    </w:p>
    <w:p>
      <w:pPr>
        <w:pStyle w:val="0"/>
        <w:ind w:firstLine="54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55" w:name="P55"/>
    <w:bookmarkEnd w:id="55"/>
    <w:p>
      <w:pPr>
        <w:pStyle w:val="2"/>
        <w:jc w:val="center"/>
      </w:pPr>
      <w:r>
        <w:rPr>
          <w:sz w:val="20"/>
        </w:rPr>
        <w:t xml:space="preserve">ПОРЯДОК</w:t>
      </w:r>
    </w:p>
    <w:p>
      <w:pPr>
        <w:pStyle w:val="2"/>
        <w:jc w:val="center"/>
      </w:pPr>
      <w:r>
        <w:rPr>
          <w:sz w:val="20"/>
        </w:rPr>
        <w:t xml:space="preserve">ОРГАНИЗАЦИИ И ПРОВЕДЕНИЯ КОНКУРСА ИНВЕСТИЦИОННЫХ</w:t>
      </w:r>
    </w:p>
    <w:p>
      <w:pPr>
        <w:pStyle w:val="2"/>
        <w:jc w:val="center"/>
      </w:pPr>
      <w:r>
        <w:rPr>
          <w:sz w:val="20"/>
        </w:rPr>
        <w:t xml:space="preserve">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21.08.2019 </w:t>
            </w:r>
            <w:hyperlink w:history="0" r:id="rId41"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18.05.2020 </w:t>
            </w:r>
            <w:hyperlink w:history="0" r:id="rId42"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color w:val="392c69"/>
              </w:rPr>
              <w:t xml:space="preserve">, от 22.06.2021 </w:t>
            </w:r>
            <w:hyperlink w:history="0" r:id="rId43"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28.03.2023 </w:t>
            </w:r>
            <w:hyperlink w:history="0" r:id="rId4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 от 25.07.2023 </w:t>
            </w:r>
            <w:hyperlink w:history="0" r:id="rId45"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 от 17.10.2023 </w:t>
            </w:r>
            <w:hyperlink w:history="0" r:id="rId46"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Гражданским </w:t>
      </w:r>
      <w:hyperlink w:history="0" r:id="rId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Федеральным </w:t>
      </w:r>
      <w:hyperlink w:history="0" r:id="rId48"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25.02.1999 N 39-ФЗ "Об инвестиционной деятельности в Российской Федерации, осуществляемой в форме капитальных вложений", </w:t>
      </w:r>
      <w:hyperlink w:history="0" r:id="rId4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Законом</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Настоящий Порядок определяет последовательность организационных мероприятий по проведению конкурса инвестиционных проектов на территории Новосибирской области (далее - конкурс), права и обязанности организаторов и участников конкурса, основные требования к представляемым на конкурс документам.</w:t>
      </w:r>
    </w:p>
    <w:p>
      <w:pPr>
        <w:pStyle w:val="0"/>
        <w:spacing w:before="200" w:line-rule="auto"/>
        <w:ind w:firstLine="540"/>
        <w:jc w:val="both"/>
      </w:pPr>
      <w:r>
        <w:rPr>
          <w:sz w:val="20"/>
        </w:rPr>
        <w:t xml:space="preserve">2.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Новосибирской области.</w:t>
      </w:r>
    </w:p>
    <w:p>
      <w:pPr>
        <w:pStyle w:val="0"/>
        <w:spacing w:before="200" w:line-rule="auto"/>
        <w:ind w:firstLine="540"/>
        <w:jc w:val="both"/>
      </w:pPr>
      <w:r>
        <w:rPr>
          <w:sz w:val="20"/>
        </w:rPr>
        <w:t xml:space="preserve">3. Конкурс проводится комиссией по проведению конкурса инвестиционных проектов (далее - комиссия).</w:t>
      </w:r>
    </w:p>
    <w:p>
      <w:pPr>
        <w:pStyle w:val="0"/>
        <w:spacing w:before="200" w:line-rule="auto"/>
        <w:ind w:firstLine="540"/>
        <w:jc w:val="both"/>
      </w:pPr>
      <w:r>
        <w:rPr>
          <w:sz w:val="20"/>
        </w:rPr>
        <w:t xml:space="preserve">4. Конкурс проводится при наличии бюджетных ассигнований и (или) при наличии лимитов налоговых льгот для исполнения обязательств перед победителями конкурса - получателями государственной поддержки не реже двух раз в год.</w:t>
      </w:r>
    </w:p>
    <w:p>
      <w:pPr>
        <w:pStyle w:val="0"/>
        <w:spacing w:before="200" w:line-rule="auto"/>
        <w:ind w:firstLine="540"/>
        <w:jc w:val="both"/>
      </w:pPr>
      <w:r>
        <w:rPr>
          <w:sz w:val="20"/>
        </w:rPr>
        <w:t xml:space="preserve">5. Конкурс является открытым. Конкурсный отбор инвестиционных проектов основывается на принципах равенства и объективности.</w:t>
      </w:r>
    </w:p>
    <w:p>
      <w:pPr>
        <w:pStyle w:val="0"/>
        <w:spacing w:before="200" w:line-rule="auto"/>
        <w:ind w:firstLine="540"/>
        <w:jc w:val="both"/>
      </w:pPr>
      <w:r>
        <w:rPr>
          <w:sz w:val="20"/>
        </w:rPr>
        <w:t xml:space="preserve">6. Организационную поддержку проведения конкурса, прием от заявителей документов на конкурс, взаимодействие с участниками конкурса осуществляет министерство экономического развития Новосибирской области (далее - министерство).</w:t>
      </w:r>
    </w:p>
    <w:p>
      <w:pPr>
        <w:pStyle w:val="0"/>
        <w:spacing w:before="200" w:line-rule="auto"/>
        <w:ind w:firstLine="540"/>
        <w:jc w:val="both"/>
      </w:pPr>
      <w:r>
        <w:rPr>
          <w:sz w:val="20"/>
        </w:rPr>
        <w:t xml:space="preserve">7. Министерство организует прием от заявителей документов на конкурсы на постоянной основе.</w:t>
      </w:r>
    </w:p>
    <w:p>
      <w:pPr>
        <w:pStyle w:val="0"/>
        <w:spacing w:before="200" w:line-rule="auto"/>
        <w:ind w:firstLine="540"/>
        <w:jc w:val="both"/>
      </w:pPr>
      <w:r>
        <w:rPr>
          <w:sz w:val="20"/>
        </w:rPr>
        <w:t xml:space="preserve">8. Объявление о проведении конкурсного отбора (далее - объявление о конкурсе) размещается на официальном сайте министерства в информационно-телекоммуникационной сети "Интернет" (</w:t>
      </w:r>
      <w:hyperlink w:history="0" r:id="rId50">
        <w:r>
          <w:rPr>
            <w:sz w:val="20"/>
            <w:color w:val="0000ff"/>
          </w:rPr>
          <w:t xml:space="preserve">http://econom.nso.ru</w:t>
        </w:r>
      </w:hyperlink>
      <w:r>
        <w:rPr>
          <w:sz w:val="20"/>
        </w:rPr>
        <w:t xml:space="preserve">) (далее - официальный сайт министерства) и на едином портале бюджетной системы Российской Федерации в информационно-телекоммуникационной сети "Интернет" (</w:t>
      </w:r>
      <w:hyperlink w:history="0" r:id="rId51">
        <w:r>
          <w:rPr>
            <w:sz w:val="20"/>
            <w:color w:val="0000ff"/>
          </w:rPr>
          <w:t xml:space="preserve">http://budget.gov.ru</w:t>
        </w:r>
      </w:hyperlink>
      <w:r>
        <w:rPr>
          <w:sz w:val="20"/>
        </w:rPr>
        <w:t xml:space="preserve">) (далее - единый портал) в срок не позднее 45 рабочих дней до даты заседания комиссии и содержит следующие сведения:</w:t>
      </w:r>
    </w:p>
    <w:p>
      <w:pPr>
        <w:pStyle w:val="0"/>
        <w:spacing w:before="200" w:line-rule="auto"/>
        <w:ind w:firstLine="540"/>
        <w:jc w:val="both"/>
      </w:pPr>
      <w:r>
        <w:rPr>
          <w:sz w:val="20"/>
        </w:rPr>
        <w:t xml:space="preserve">1) срок проведения конкурса с указанием даты начала подачи или окончания приема заявлений на участие в конкурсе (далее - заявление), которая не может быть ранее 30-го календарного дня, следующего за днем размещения объявления о конкурсе;</w:t>
      </w:r>
    </w:p>
    <w:p>
      <w:pPr>
        <w:pStyle w:val="0"/>
        <w:spacing w:before="200" w:line-rule="auto"/>
        <w:ind w:firstLine="540"/>
        <w:jc w:val="both"/>
      </w:pPr>
      <w:r>
        <w:rPr>
          <w:sz w:val="20"/>
        </w:rPr>
        <w:t xml:space="preserve">2) место нахождения, почтовый адрес, адрес электронной почты министерства;</w:t>
      </w:r>
    </w:p>
    <w:p>
      <w:pPr>
        <w:pStyle w:val="0"/>
        <w:spacing w:before="200" w:line-rule="auto"/>
        <w:ind w:firstLine="540"/>
        <w:jc w:val="both"/>
      </w:pPr>
      <w:r>
        <w:rPr>
          <w:sz w:val="20"/>
        </w:rPr>
        <w:t xml:space="preserve">3) результаты предоставления мер государственной поддержки инвестиционной деятельности;</w:t>
      </w:r>
    </w:p>
    <w:p>
      <w:pPr>
        <w:pStyle w:val="0"/>
        <w:spacing w:before="200" w:line-rule="auto"/>
        <w:ind w:firstLine="540"/>
        <w:jc w:val="both"/>
      </w:pPr>
      <w:r>
        <w:rPr>
          <w:sz w:val="20"/>
        </w:rPr>
        <w:t xml:space="preserve">4) адрес страницы официального сайта министерства, на котором обеспечивается проведение конкурса;</w:t>
      </w:r>
    </w:p>
    <w:p>
      <w:pPr>
        <w:pStyle w:val="0"/>
        <w:spacing w:before="200" w:line-rule="auto"/>
        <w:ind w:firstLine="540"/>
        <w:jc w:val="both"/>
      </w:pPr>
      <w:r>
        <w:rPr>
          <w:sz w:val="20"/>
        </w:rPr>
        <w:t xml:space="preserve">5) требования к заявителям и перечень документов, представляемых заявителями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заявлений и требования, предъявляемые к форме и содержанию заявлений;</w:t>
      </w:r>
    </w:p>
    <w:p>
      <w:pPr>
        <w:pStyle w:val="0"/>
        <w:spacing w:before="200" w:line-rule="auto"/>
        <w:ind w:firstLine="540"/>
        <w:jc w:val="both"/>
      </w:pPr>
      <w:r>
        <w:rPr>
          <w:sz w:val="20"/>
        </w:rPr>
        <w:t xml:space="preserve">7) порядок отзыва заявлений, порядок возврата заявлений, определяющий в том числе основания для возврата заявлений, порядок внесения изменений в заявления;</w:t>
      </w:r>
    </w:p>
    <w:p>
      <w:pPr>
        <w:pStyle w:val="0"/>
        <w:spacing w:before="200" w:line-rule="auto"/>
        <w:ind w:firstLine="540"/>
        <w:jc w:val="both"/>
      </w:pPr>
      <w:r>
        <w:rPr>
          <w:sz w:val="20"/>
        </w:rPr>
        <w:t xml:space="preserve">8) правила рассмотрения и оценки заявлений;</w:t>
      </w:r>
    </w:p>
    <w:p>
      <w:pPr>
        <w:pStyle w:val="0"/>
        <w:spacing w:before="200" w:line-rule="auto"/>
        <w:ind w:firstLine="540"/>
        <w:jc w:val="both"/>
      </w:pPr>
      <w:r>
        <w:rPr>
          <w:sz w:val="20"/>
        </w:rPr>
        <w:t xml:space="preserve">9) порядок предоставления заявителям разъяснений положений объявления о конкурсе, даты начала и окончания срока такого предоставления;</w:t>
      </w:r>
    </w:p>
    <w:p>
      <w:pPr>
        <w:pStyle w:val="0"/>
        <w:spacing w:before="200" w:line-rule="auto"/>
        <w:ind w:firstLine="540"/>
        <w:jc w:val="both"/>
      </w:pPr>
      <w:r>
        <w:rPr>
          <w:sz w:val="20"/>
        </w:rPr>
        <w:t xml:space="preserve">10) срок, в течение которого победитель (победители) конкурса должен подписать договор о предоставлении государственной поддержки, соглашение о предоставлении субсидии (в случае предоставления субсидий);</w:t>
      </w:r>
    </w:p>
    <w:p>
      <w:pPr>
        <w:pStyle w:val="0"/>
        <w:spacing w:before="200" w:line-rule="auto"/>
        <w:ind w:firstLine="540"/>
        <w:jc w:val="both"/>
      </w:pPr>
      <w:r>
        <w:rPr>
          <w:sz w:val="20"/>
        </w:rPr>
        <w:t xml:space="preserve">11) условия признания победителя (победителей) конкурса уклонившимся от заключения договора о предоставлении государственной поддержки, соглашения о предоставлении субсидии (в случае предоставления субсидий);</w:t>
      </w:r>
    </w:p>
    <w:p>
      <w:pPr>
        <w:pStyle w:val="0"/>
        <w:spacing w:before="200" w:line-rule="auto"/>
        <w:ind w:firstLine="540"/>
        <w:jc w:val="both"/>
      </w:pPr>
      <w:r>
        <w:rPr>
          <w:sz w:val="20"/>
        </w:rPr>
        <w:t xml:space="preserve">12) дата размещения результатов конкурса на едином портале и на официальном сайте министерства, которая не может быть позднее 14-го календарного дня, следующего за днем определения победителя (победителей) конкурса.</w:t>
      </w:r>
    </w:p>
    <w:p>
      <w:pPr>
        <w:pStyle w:val="0"/>
        <w:jc w:val="both"/>
      </w:pPr>
      <w:r>
        <w:rPr>
          <w:sz w:val="20"/>
        </w:rPr>
        <w:t xml:space="preserve">(п. 8 в ред. </w:t>
      </w:r>
      <w:hyperlink w:history="0" r:id="rId5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ind w:firstLine="540"/>
        <w:jc w:val="both"/>
      </w:pPr>
      <w:r>
        <w:rPr>
          <w:sz w:val="20"/>
        </w:rPr>
      </w:r>
    </w:p>
    <w:p>
      <w:pPr>
        <w:pStyle w:val="2"/>
        <w:outlineLvl w:val="1"/>
        <w:jc w:val="center"/>
      </w:pPr>
      <w:r>
        <w:rPr>
          <w:sz w:val="20"/>
        </w:rPr>
        <w:t xml:space="preserve">II. Условия подачи и оформления документов на конкурс</w:t>
      </w:r>
    </w:p>
    <w:p>
      <w:pPr>
        <w:pStyle w:val="0"/>
        <w:ind w:firstLine="540"/>
        <w:jc w:val="both"/>
      </w:pPr>
      <w:r>
        <w:rPr>
          <w:sz w:val="20"/>
        </w:rPr>
      </w:r>
    </w:p>
    <w:bookmarkStart w:id="89" w:name="P89"/>
    <w:bookmarkEnd w:id="89"/>
    <w:p>
      <w:pPr>
        <w:pStyle w:val="0"/>
        <w:ind w:firstLine="540"/>
        <w:jc w:val="both"/>
      </w:pPr>
      <w:r>
        <w:rPr>
          <w:sz w:val="20"/>
        </w:rPr>
        <w:t xml:space="preserve">9. На конкурсе рассматриваются поступившие в министерство заявления на получение мер государственной поддержки инвестиционной деятельности, предусмотренных </w:t>
      </w:r>
      <w:hyperlink w:history="0" r:id="rId5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 </w:t>
      </w:r>
      <w:hyperlink w:history="0" r:id="rId5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на изменение сроков предоставления и объемов, замену (дополнение) мер государственной поддержки инвестиционной деятельности, соответствующие требованиям, установленным в </w:t>
      </w:r>
      <w:hyperlink w:history="0" w:anchor="P91" w:tooltip="10. Для участия в конкурсе на получение мер государственной поддержки инвестиционной деятельности, предусмотренных пунктами 1 - 3 статьи 6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раздела IV настоящего Порядка. К заявлению прилагаются следующие документы:">
        <w:r>
          <w:rPr>
            <w:sz w:val="20"/>
            <w:color w:val="0000ff"/>
          </w:rPr>
          <w:t xml:space="preserve">пункте 10</w:t>
        </w:r>
      </w:hyperlink>
      <w:r>
        <w:rPr>
          <w:sz w:val="20"/>
        </w:rPr>
        <w:t xml:space="preserve"> Порядка, при выполнении заявителем условий, установленных </w:t>
      </w:r>
      <w:hyperlink w:history="0" r:id="rId5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а также в случае указания в заявлении в качестве меры государственной поддержки инвестиционной деятельности предоставление субсидии - требований, установленных </w:t>
      </w:r>
      <w:hyperlink w:history="0" r:id="rId5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подпунктом "в" пункта 4</w:t>
        </w:r>
      </w:hyperlink>
      <w:r>
        <w:rPr>
          <w:sz w:val="20"/>
        </w:rP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(п. 9 в ред. </w:t>
      </w:r>
      <w:hyperlink w:history="0" r:id="rId5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bookmarkStart w:id="91" w:name="P91"/>
    <w:bookmarkEnd w:id="91"/>
    <w:p>
      <w:pPr>
        <w:pStyle w:val="0"/>
        <w:spacing w:before="200" w:line-rule="auto"/>
        <w:ind w:firstLine="540"/>
        <w:jc w:val="both"/>
      </w:pPr>
      <w:r>
        <w:rPr>
          <w:sz w:val="20"/>
        </w:rPr>
        <w:t xml:space="preserve">10. Для участия в конкурсе на получение мер государственной поддержки инвестиционной деятельности, предусмотренных </w:t>
      </w:r>
      <w:hyperlink w:history="0" r:id="rId5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 </w:t>
      </w:r>
      <w:hyperlink w:history="0" r:id="rId5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w:t>
      </w:r>
      <w:hyperlink w:history="0" w:anchor="P160" w:tooltip="IV. Требования к заявлению инвестора на участие в конкурсе">
        <w:r>
          <w:rPr>
            <w:sz w:val="20"/>
            <w:color w:val="0000ff"/>
          </w:rPr>
          <w:t xml:space="preserve">раздела IV</w:t>
        </w:r>
      </w:hyperlink>
      <w:r>
        <w:rPr>
          <w:sz w:val="20"/>
        </w:rPr>
        <w:t xml:space="preserve"> настоящего Порядка. К заявлению прилагаются следующие документы:</w:t>
      </w:r>
    </w:p>
    <w:p>
      <w:pPr>
        <w:pStyle w:val="0"/>
        <w:jc w:val="both"/>
      </w:pPr>
      <w:r>
        <w:rPr>
          <w:sz w:val="20"/>
        </w:rPr>
        <w:t xml:space="preserve">(в ред. </w:t>
      </w:r>
      <w:hyperlink w:history="0" r:id="rId6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bookmarkStart w:id="93" w:name="P93"/>
    <w:bookmarkEnd w:id="93"/>
    <w:p>
      <w:pPr>
        <w:pStyle w:val="0"/>
        <w:spacing w:before="200" w:line-rule="auto"/>
        <w:ind w:firstLine="540"/>
        <w:jc w:val="both"/>
      </w:pPr>
      <w:r>
        <w:rPr>
          <w:sz w:val="20"/>
        </w:rPr>
        <w:t xml:space="preserve">1) бизнес-план инвестиционного проекта, составленный в соответствии с требованиями настоящего Порядка, на бумажном носителе и в электронном виде;</w:t>
      </w:r>
    </w:p>
    <w:bookmarkStart w:id="94" w:name="P94"/>
    <w:bookmarkEnd w:id="94"/>
    <w:p>
      <w:pPr>
        <w:pStyle w:val="0"/>
        <w:spacing w:before="200" w:line-rule="auto"/>
        <w:ind w:firstLine="540"/>
        <w:jc w:val="both"/>
      </w:pPr>
      <w:r>
        <w:rPr>
          <w:sz w:val="20"/>
        </w:rPr>
        <w:t xml:space="preserve">2) плановые финансово-экономические показатели (далее - ФЭП) проекта по форме "Плановые финансово-экономические показатели проекта", установленной </w:t>
      </w:r>
      <w:hyperlink w:history="0" w:anchor="P255" w:tooltip="            Плановые финансово-экономические показатели проекта">
        <w:r>
          <w:rPr>
            <w:sz w:val="20"/>
            <w:color w:val="0000ff"/>
          </w:rPr>
          <w:t xml:space="preserve">приложением N 1</w:t>
        </w:r>
      </w:hyperlink>
      <w:r>
        <w:rPr>
          <w:sz w:val="20"/>
        </w:rPr>
        <w:t xml:space="preserve"> к настоящему Порядку, заполненные в соответствии с Методическими </w:t>
      </w:r>
      <w:hyperlink w:history="0" w:anchor="P707" w:tooltip="Методические рекомендации">
        <w:r>
          <w:rPr>
            <w:sz w:val="20"/>
            <w:color w:val="0000ff"/>
          </w:rPr>
          <w:t xml:space="preserve">рекомендациями</w:t>
        </w:r>
      </w:hyperlink>
      <w:r>
        <w:rPr>
          <w:sz w:val="20"/>
        </w:rPr>
        <w:t xml:space="preserve"> по заполнению формы "Плановые финансово-экономические показатели проекта" (приложение N 2 к настоящему Порядку), на бумажном носителе с подписью уполномоченного лица и печатью (при наличии) и в электронном виде в формате электронных таблиц;</w:t>
      </w:r>
    </w:p>
    <w:p>
      <w:pPr>
        <w:pStyle w:val="0"/>
        <w:spacing w:before="200" w:line-rule="auto"/>
        <w:ind w:firstLine="540"/>
        <w:jc w:val="both"/>
      </w:pPr>
      <w:r>
        <w:rPr>
          <w:sz w:val="20"/>
        </w:rPr>
        <w:t xml:space="preserve">3) копия книги учета доходов и расходов и хозяйственных операций индивидуального предпринимателя, отражающей операции за предыдущий отчетный год (для индивидуальных предпринимателей), либо уведомление о ее отсутствии для инвесторов, зарегистрированных в текущем году;</w:t>
      </w:r>
    </w:p>
    <w:bookmarkStart w:id="96" w:name="P96"/>
    <w:bookmarkEnd w:id="96"/>
    <w:p>
      <w:pPr>
        <w:pStyle w:val="0"/>
        <w:spacing w:before="200" w:line-rule="auto"/>
        <w:ind w:firstLine="540"/>
        <w:jc w:val="both"/>
      </w:pPr>
      <w:r>
        <w:rPr>
          <w:sz w:val="20"/>
        </w:rPr>
        <w:t xml:space="preserve">4)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предыдущий отчетный год (за два отчетных периода, предшествующих году подачи заявления в случае указания в нем в качестве меры государственной поддержки инвестиционной деятельности предоставления государственной гарантии Новосибирской области) с отметкой налогового органа (для юридических лиц) либо уведомление об отсутствии копии годовой бухгалтерской отчетности для инвесторов, зарегистрированных в текущем году;</w:t>
      </w:r>
    </w:p>
    <w:p>
      <w:pPr>
        <w:pStyle w:val="0"/>
        <w:jc w:val="both"/>
      </w:pPr>
      <w:r>
        <w:rPr>
          <w:sz w:val="20"/>
        </w:rPr>
        <w:t xml:space="preserve">(в ред. постановлений Правительства Новосибирской области от 22.06.2021 </w:t>
      </w:r>
      <w:hyperlink w:history="0" r:id="rId61"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rPr>
        <w:t xml:space="preserve">, от 28.03.2023 </w:t>
      </w:r>
      <w:hyperlink w:history="0" r:id="rId6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p>
      <w:pPr>
        <w:pStyle w:val="0"/>
        <w:spacing w:before="200" w:line-rule="auto"/>
        <w:ind w:firstLine="540"/>
        <w:jc w:val="both"/>
      </w:pPr>
      <w:r>
        <w:rPr>
          <w:sz w:val="20"/>
        </w:rPr>
        <w:t xml:space="preserve">5) копия бухгалтерской отчетности (Бухгалтерский баланс, Отчет о финансовых результатах) за последний отчетный период текущего года (для юридических лиц). Если составление промежуточной бухгалтерской (финансовой) отчетности в соответствии с законодательством Российской Федерации не предусмотрено, то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 бухгалтерская (финансовая) отчетность в соответствии с </w:t>
      </w:r>
      <w:hyperlink w:history="0" w:anchor="P96" w:tooltip="4)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предыдущий отчетный год (за два отчетных периода, предшествующих году подачи заявления в случае указания в нем в качестве меры государственной поддержки инвестиционной деятельности предоставления государственной гарантии Н...">
        <w:r>
          <w:rPr>
            <w:sz w:val="20"/>
            <w:color w:val="0000ff"/>
          </w:rPr>
          <w:t xml:space="preserve">подпунктом 4</w:t>
        </w:r>
      </w:hyperlink>
      <w:r>
        <w:rPr>
          <w:sz w:val="20"/>
        </w:rPr>
        <w:t xml:space="preserve"> настоящего пункта представляется за последние три финансовых года, предшествующих году подачи заявления;</w:t>
      </w:r>
    </w:p>
    <w:p>
      <w:pPr>
        <w:pStyle w:val="0"/>
        <w:jc w:val="both"/>
      </w:pPr>
      <w:r>
        <w:rPr>
          <w:sz w:val="20"/>
        </w:rPr>
        <w:t xml:space="preserve">(в ред. постановлений Правительства Новосибирской области от 22.06.2021 </w:t>
      </w:r>
      <w:hyperlink w:history="0" r:id="rId63"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rPr>
        <w:t xml:space="preserve">, от 28.03.2023 </w:t>
      </w:r>
      <w:hyperlink w:history="0" r:id="rId6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bookmarkStart w:id="100" w:name="P100"/>
    <w:bookmarkEnd w:id="100"/>
    <w:p>
      <w:pPr>
        <w:pStyle w:val="0"/>
        <w:spacing w:before="200" w:line-rule="auto"/>
        <w:ind w:firstLine="540"/>
        <w:jc w:val="both"/>
      </w:pPr>
      <w:r>
        <w:rPr>
          <w:sz w:val="20"/>
        </w:rPr>
        <w:t xml:space="preserve">6)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подача заявления;</w:t>
      </w:r>
    </w:p>
    <w:p>
      <w:pPr>
        <w:pStyle w:val="0"/>
        <w:jc w:val="both"/>
      </w:pPr>
      <w:r>
        <w:rPr>
          <w:sz w:val="20"/>
        </w:rPr>
        <w:t xml:space="preserve">(в ред. постановлений Правительства Новосибирской области от 28.03.2023 </w:t>
      </w:r>
      <w:hyperlink w:history="0" r:id="rId6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 от 25.07.2023 </w:t>
      </w:r>
      <w:hyperlink w:history="0" r:id="rId66"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pPr>
        <w:pStyle w:val="0"/>
        <w:spacing w:before="200" w:line-rule="auto"/>
        <w:ind w:firstLine="540"/>
        <w:jc w:val="both"/>
      </w:pPr>
      <w:r>
        <w:rPr>
          <w:sz w:val="20"/>
        </w:rPr>
        <w:t xml:space="preserve">8) копия протокола заседания Совета по инвестициям Новосибирской области с решением об одобрении реализации инвестиционного проекта (в случае если период осуществления инвестиций (инвестиционная фаза) по бизнес-плану инвестиционного проекта завершен на дату направления в министерство заявления);</w:t>
      </w:r>
    </w:p>
    <w:p>
      <w:pPr>
        <w:pStyle w:val="0"/>
        <w:jc w:val="both"/>
      </w:pPr>
      <w:r>
        <w:rPr>
          <w:sz w:val="20"/>
        </w:rPr>
        <w:t xml:space="preserve">(в ред. </w:t>
      </w:r>
      <w:hyperlink w:history="0" r:id="rId6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9) </w:t>
      </w:r>
      <w:hyperlink w:history="0" r:id="rId68" w:tooltip="Постановление Правительства Новосибирской области от 22.06.2021 N 231-п (ред. от 16.01.2024) &quot;О Порядке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 возникающих в процессе реализации инвестиционных проектов&quot; {КонсультантПлюс}">
        <w:r>
          <w:rPr>
            <w:sz w:val="20"/>
            <w:color w:val="0000ff"/>
          </w:rPr>
          <w:t xml:space="preserve">заявка</w:t>
        </w:r>
      </w:hyperlink>
      <w:r>
        <w:rPr>
          <w:sz w:val="20"/>
        </w:rPr>
        <w:t xml:space="preserve"> на получение государственной гарантии Новосибирской области, подписанная уполномоченным лицом, по форме, установленной Порядком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 возникающих в процессе реализации инвестиционных проектов, утвержденным постановлением Правительства Новосибирской области от 22.06.2021 N 231-п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pPr>
        <w:pStyle w:val="0"/>
        <w:jc w:val="both"/>
      </w:pPr>
      <w:r>
        <w:rPr>
          <w:sz w:val="20"/>
        </w:rPr>
        <w:t xml:space="preserve">(пп. 9 введен </w:t>
      </w:r>
      <w:hyperlink w:history="0" r:id="rId69"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22.06.2021 N 232-п; в ред. </w:t>
      </w:r>
      <w:hyperlink w:history="0" r:id="rId7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10) документ, подтверждающий полномочия лица, подписавшего заявку на получение государственной гарантии Новосибирской области, на осуществление действий от имени инвестора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pPr>
        <w:pStyle w:val="0"/>
        <w:jc w:val="both"/>
      </w:pPr>
      <w:r>
        <w:rPr>
          <w:sz w:val="20"/>
        </w:rPr>
        <w:t xml:space="preserve">(пп. 10 введен </w:t>
      </w:r>
      <w:hyperlink w:history="0" r:id="rId71"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22.06.2021 N 232-п; в ред. </w:t>
      </w:r>
      <w:hyperlink w:history="0" r:id="rId7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11) </w:t>
      </w:r>
      <w:hyperlink w:history="0" r:id="rId73" w:tooltip="Постановление Правительства РФ от 21.12.2021 N 2378 &quot;Об утверждении Правил подтверждения соответствия юридических лиц требованиям, установленным абзацем первым пункта 16 статьи 241 Бюджетного кодекса Российской Федерации&quot; {КонсультантПлюс}">
        <w:r>
          <w:rPr>
            <w:sz w:val="20"/>
            <w:color w:val="0000ff"/>
          </w:rPr>
          <w:t xml:space="preserve">справка</w:t>
        </w:r>
      </w:hyperlink>
      <w:r>
        <w:rPr>
          <w:sz w:val="20"/>
        </w:rPr>
        <w:t xml:space="preserve"> юридического лица о соответствии требованиям, установленным абзацем первым пункта 16 статьи 241 Бюджетного кодекса Российской Федерации, по форме согласно приложению к Правилам подтверждения соответствия юридических лиц требованиям, установленным абзацем первым пункта 16 статьи 241 Бюджетного кодекса Российской Федерации, утвержденным постановлением Правительства Российской Федерации от 21.12.2021 N 2378 "Об утверждении Правил подтверждения соответствия юридических лиц требованиям, установленным абзацем первым пункта 16 статьи 241 Бюджетного кодекса Российской Федерации", с приложением документов, указанных в справке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pPr>
        <w:pStyle w:val="0"/>
        <w:jc w:val="both"/>
      </w:pPr>
      <w:r>
        <w:rPr>
          <w:sz w:val="20"/>
        </w:rPr>
        <w:t xml:space="preserve">(пп. 11 введен </w:t>
      </w:r>
      <w:hyperlink w:history="0" r:id="rId7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Абзац утратил силу. - </w:t>
      </w:r>
      <w:hyperlink w:history="0" r:id="rId75"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22.06.2021 N 232-п.</w:t>
      </w:r>
    </w:p>
    <w:p>
      <w:pPr>
        <w:pStyle w:val="0"/>
        <w:spacing w:before="200" w:line-rule="auto"/>
        <w:ind w:firstLine="540"/>
        <w:jc w:val="both"/>
      </w:pPr>
      <w:r>
        <w:rPr>
          <w:sz w:val="20"/>
        </w:rPr>
        <w:t xml:space="preserve">Заявление и документы, представленные инвестором, должны содержать достоверную информацию.</w:t>
      </w:r>
    </w:p>
    <w:p>
      <w:pPr>
        <w:pStyle w:val="0"/>
        <w:jc w:val="both"/>
      </w:pPr>
      <w:r>
        <w:rPr>
          <w:sz w:val="20"/>
        </w:rPr>
        <w:t xml:space="preserve">(абзац введен </w:t>
      </w:r>
      <w:hyperlink w:history="0" r:id="rId7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10.1. В случае если документы, предусмотренные </w:t>
      </w:r>
      <w:hyperlink w:history="0" w:anchor="P100" w:tooltip="6)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одача заявления;">
        <w:r>
          <w:rPr>
            <w:sz w:val="20"/>
            <w:color w:val="0000ff"/>
          </w:rPr>
          <w:t xml:space="preserve">подпунктом 6 пункта 10</w:t>
        </w:r>
      </w:hyperlink>
      <w:r>
        <w:rPr>
          <w:sz w:val="20"/>
        </w:rP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pPr>
        <w:pStyle w:val="0"/>
        <w:jc w:val="both"/>
      </w:pPr>
      <w:r>
        <w:rPr>
          <w:sz w:val="20"/>
        </w:rPr>
        <w:t xml:space="preserve">(п. 10.1 введен </w:t>
      </w:r>
      <w:hyperlink w:history="0" r:id="rId77"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22.06.2021 N 232-п)</w:t>
      </w:r>
    </w:p>
    <w:p>
      <w:pPr>
        <w:pStyle w:val="0"/>
        <w:spacing w:before="200" w:line-rule="auto"/>
        <w:ind w:firstLine="540"/>
        <w:jc w:val="both"/>
      </w:pPr>
      <w:r>
        <w:rPr>
          <w:sz w:val="20"/>
        </w:rPr>
        <w:t xml:space="preserve">10.2. Заявление и документы, указанные в </w:t>
      </w:r>
      <w:hyperlink w:history="0" w:anchor="P91" w:tooltip="10. Для участия в конкурсе на получение мер государственной поддержки инвестиционной деятельности, предусмотренных пунктами 1 - 3 статьи 6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раздела IV настоящего Порядка. К заявлению прилагаются следующие документы:">
        <w:r>
          <w:rPr>
            <w:sz w:val="20"/>
            <w:color w:val="0000ff"/>
          </w:rPr>
          <w:t xml:space="preserve">пунктах 10</w:t>
        </w:r>
      </w:hyperlink>
      <w:r>
        <w:rPr>
          <w:sz w:val="20"/>
        </w:rPr>
        <w:t xml:space="preserve">, </w:t>
      </w:r>
      <w:hyperlink w:history="0" w:anchor="P222" w:tooltip="39. Вместе с заявлением инвестором в министерство представляются следующие документы и сведения по состоянию не ранее чем на первое число месяца, в котором заявление направляется в министерство для подтверждения соблюдения условий, определенных частью 2 статьи 7 Закона, а также требований, определенных подпунктом &quot;в&quot; пункта 4 Общих требований (в случае указания в заявлении в качестве меры государственной поддержки инвестиционной деятельности предоставление субсидии):">
        <w:r>
          <w:rPr>
            <w:sz w:val="20"/>
            <w:color w:val="0000ff"/>
          </w:rPr>
          <w:t xml:space="preserve">39</w:t>
        </w:r>
      </w:hyperlink>
      <w:r>
        <w:rPr>
          <w:sz w:val="20"/>
        </w:rPr>
        <w:t xml:space="preserve"> настоящего Порядка, регистрируются министерством в порядке поступления с учетом особенностей </w:t>
      </w:r>
      <w:hyperlink w:history="0" w:anchor="P120" w:tooltip="12. Документы на конкурс, поступившие в министерство позднее даты окончания приема заявлений на участие в конкурсе, указанной в объявлении о конкурсе, рассматриваются в соответствии с настоящим Порядком к следующему конкурсу.">
        <w:r>
          <w:rPr>
            <w:sz w:val="20"/>
            <w:color w:val="0000ff"/>
          </w:rPr>
          <w:t xml:space="preserve">пункта 12</w:t>
        </w:r>
      </w:hyperlink>
      <w:r>
        <w:rPr>
          <w:sz w:val="20"/>
        </w:rPr>
        <w:t xml:space="preserve"> настоящего Порядка и могут быть направлены в министерство через личный кабинет инвестора на инвестиционном портале Новосибирской области в информационно-телекоммуникационной сети "Интернет" по адресу: </w:t>
      </w:r>
      <w:hyperlink w:history="0" r:id="rId78">
        <w:r>
          <w:rPr>
            <w:sz w:val="20"/>
            <w:color w:val="0000ff"/>
          </w:rPr>
          <w:t xml:space="preserve">https://invest.nso.ru</w:t>
        </w:r>
      </w:hyperlink>
      <w:r>
        <w:rPr>
          <w:sz w:val="20"/>
        </w:rPr>
        <w:t xml:space="preserve"> (далее - Личный кабинет инвестора). В случае направления документов через Личный кабинет инвестора, документы на бумажном носителе в министерство не представляются.</w:t>
      </w:r>
    </w:p>
    <w:p>
      <w:pPr>
        <w:pStyle w:val="0"/>
        <w:jc w:val="both"/>
      </w:pPr>
      <w:r>
        <w:rPr>
          <w:sz w:val="20"/>
        </w:rPr>
        <w:t xml:space="preserve">(п. 10.2 введен </w:t>
      </w:r>
      <w:hyperlink w:history="0" r:id="rId79"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11. Срок приема документов на конкурс составляет не менее 30 календарных дней со дня, следующего за днем размещения на официальном сайте министерства и на едином портале объявления о конкурсе.</w:t>
      </w:r>
    </w:p>
    <w:p>
      <w:pPr>
        <w:pStyle w:val="0"/>
        <w:jc w:val="both"/>
      </w:pPr>
      <w:r>
        <w:rPr>
          <w:sz w:val="20"/>
        </w:rPr>
        <w:t xml:space="preserve">(п. 11 в ред. </w:t>
      </w:r>
      <w:hyperlink w:history="0" r:id="rId8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bookmarkStart w:id="120" w:name="P120"/>
    <w:bookmarkEnd w:id="120"/>
    <w:p>
      <w:pPr>
        <w:pStyle w:val="0"/>
        <w:spacing w:before="200" w:line-rule="auto"/>
        <w:ind w:firstLine="540"/>
        <w:jc w:val="both"/>
      </w:pPr>
      <w:r>
        <w:rPr>
          <w:sz w:val="20"/>
        </w:rPr>
        <w:t xml:space="preserve">12. Документы на конкурс, поступившие в министерство позднее даты окончания приема заявлений на участие в конкурсе, указанной в объявлении о конкурсе, рассматриваются в соответствии с настоящим Порядком к следующему конкурсу.</w:t>
      </w:r>
    </w:p>
    <w:p>
      <w:pPr>
        <w:pStyle w:val="0"/>
        <w:jc w:val="both"/>
      </w:pPr>
      <w:r>
        <w:rPr>
          <w:sz w:val="20"/>
        </w:rPr>
        <w:t xml:space="preserve">(п. 12 в ред. </w:t>
      </w:r>
      <w:hyperlink w:history="0" r:id="rId8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13. Документы, предусмотренные </w:t>
      </w:r>
      <w:hyperlink w:history="0" w:anchor="P93" w:tooltip="1) бизнес-план инвестиционного проекта, составленный в соответствии с требованиями настоящего Порядка, на бумажном носителе и в электронном виде;">
        <w:r>
          <w:rPr>
            <w:sz w:val="20"/>
            <w:color w:val="0000ff"/>
          </w:rPr>
          <w:t xml:space="preserve">подпунктами 1</w:t>
        </w:r>
      </w:hyperlink>
      <w:r>
        <w:rPr>
          <w:sz w:val="20"/>
        </w:rPr>
        <w:t xml:space="preserve">, </w:t>
      </w:r>
      <w:hyperlink w:history="0" w:anchor="P94" w:tooltip="2) плановые финансово-экономические показатели (далее - ФЭП) проекта по форме &quot;Плановые финансово-экономические показатели проекта&quot;, установленной приложением N 1 к настоящему Порядку, заполненные в соответствии с Методическими рекомендациями по заполнению формы &quot;Плановые финансово-экономические показатели проекта&quot; (приложение N 2 к настоящему Порядку), на бумажном носителе с подписью уполномоченного лица и печатью (при наличии) и в электронном виде в формате электронных таблиц;">
        <w:r>
          <w:rPr>
            <w:sz w:val="20"/>
            <w:color w:val="0000ff"/>
          </w:rPr>
          <w:t xml:space="preserve">2 пункта 10</w:t>
        </w:r>
      </w:hyperlink>
      <w:r>
        <w:rPr>
          <w:sz w:val="20"/>
        </w:rPr>
        <w:t xml:space="preserve"> настоящего Порядка, направляются инвестором в электронном виде на адрес электронной почты министерства: mineconom@nso.ru.</w:t>
      </w:r>
    </w:p>
    <w:bookmarkStart w:id="123" w:name="P123"/>
    <w:bookmarkEnd w:id="123"/>
    <w:p>
      <w:pPr>
        <w:pStyle w:val="0"/>
        <w:spacing w:before="200" w:line-rule="auto"/>
        <w:ind w:firstLine="540"/>
        <w:jc w:val="both"/>
      </w:pPr>
      <w:r>
        <w:rPr>
          <w:sz w:val="20"/>
        </w:rPr>
        <w:t xml:space="preserve">14. При несоблюдении инвестором установленных </w:t>
      </w:r>
      <w:hyperlink w:history="0" w:anchor="P91" w:tooltip="10. Для участия в конкурсе на получение мер государственной поддержки инвестиционной деятельности, предусмотренных пунктами 1 - 3 статьи 6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раздела IV настоящего Порядка. К заявлению прилагаются следующие документы:">
        <w:r>
          <w:rPr>
            <w:sz w:val="20"/>
            <w:color w:val="0000ff"/>
          </w:rPr>
          <w:t xml:space="preserve">пунктом 10</w:t>
        </w:r>
      </w:hyperlink>
      <w:r>
        <w:rPr>
          <w:sz w:val="20"/>
        </w:rPr>
        <w:t xml:space="preserve"> настоящего Порядка требований к документам, министерство в срок не позднее 15 рабочих дней до даты заседания комиссии направляет инвестору соответствующее уведомление с указанием перечня замечаний.</w:t>
      </w:r>
    </w:p>
    <w:bookmarkStart w:id="124" w:name="P124"/>
    <w:bookmarkEnd w:id="124"/>
    <w:p>
      <w:pPr>
        <w:pStyle w:val="0"/>
        <w:spacing w:before="200" w:line-rule="auto"/>
        <w:ind w:firstLine="540"/>
        <w:jc w:val="both"/>
      </w:pPr>
      <w:r>
        <w:rPr>
          <w:sz w:val="20"/>
        </w:rPr>
        <w:t xml:space="preserve">15. При получении уведомления министерства, предусмотренного </w:t>
      </w:r>
      <w:hyperlink w:history="0" w:anchor="P123" w:tooltip="14. При несоблюдении инвестором установленных пунктом 10 настоящего Порядка требований к документам, министерство в срок не позднее 15 рабочих дней до даты заседания комиссии направляет инвестору соответствующее уведомление с указанием перечня замечаний.">
        <w:r>
          <w:rPr>
            <w:sz w:val="20"/>
            <w:color w:val="0000ff"/>
          </w:rPr>
          <w:t xml:space="preserve">пунктом 14</w:t>
        </w:r>
      </w:hyperlink>
      <w:r>
        <w:rPr>
          <w:sz w:val="20"/>
        </w:rPr>
        <w:t xml:space="preserve"> настоящего Порядка, инвестор вправе направить в министерство уточненные документы в срок не позднее 10 рабочих дней до даты заседания комиссии.</w:t>
      </w:r>
    </w:p>
    <w:p>
      <w:pPr>
        <w:pStyle w:val="0"/>
        <w:spacing w:before="200" w:line-rule="auto"/>
        <w:ind w:firstLine="540"/>
        <w:jc w:val="both"/>
      </w:pPr>
      <w:r>
        <w:rPr>
          <w:sz w:val="20"/>
        </w:rPr>
        <w:t xml:space="preserve">16. При наличии замечаний на уточненные документы, указанные в </w:t>
      </w:r>
      <w:hyperlink w:history="0" w:anchor="P124" w:tooltip="15. При получении уведомления министерства, предусмотренного пунктом 14 настоящего Порядка, инвестор вправе направить в министерство уточненные документы в срок не позднее 10 рабочих дней до даты заседания комиссии.">
        <w:r>
          <w:rPr>
            <w:sz w:val="20"/>
            <w:color w:val="0000ff"/>
          </w:rPr>
          <w:t xml:space="preserve">пункте 15</w:t>
        </w:r>
      </w:hyperlink>
      <w:r>
        <w:rPr>
          <w:sz w:val="20"/>
        </w:rPr>
        <w:t xml:space="preserve"> настоящего Порядка, министерство направляет инвестору соответствующее уведомление с указанием перечня замечаний в течение 10 рабочих дней с даты получения уточненных документов от инвестора.</w:t>
      </w:r>
    </w:p>
    <w:p>
      <w:pPr>
        <w:pStyle w:val="0"/>
        <w:spacing w:before="200" w:line-rule="auto"/>
        <w:ind w:firstLine="540"/>
        <w:jc w:val="both"/>
      </w:pPr>
      <w:r>
        <w:rPr>
          <w:sz w:val="20"/>
        </w:rPr>
        <w:t xml:space="preserve">17. Основаниями для отклонения заявления является:</w:t>
      </w:r>
    </w:p>
    <w:p>
      <w:pPr>
        <w:pStyle w:val="0"/>
        <w:spacing w:before="200" w:line-rule="auto"/>
        <w:ind w:firstLine="540"/>
        <w:jc w:val="both"/>
      </w:pPr>
      <w:r>
        <w:rPr>
          <w:sz w:val="20"/>
        </w:rPr>
        <w:t xml:space="preserve">1) несоответствие инвестора условиям, определенным </w:t>
      </w:r>
      <w:hyperlink w:history="0" r:id="rId8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требованиям, установленным </w:t>
      </w:r>
      <w:hyperlink w:history="0" w:anchor="P91" w:tooltip="10. Для участия в конкурсе на получение мер государственной поддержки инвестиционной деятельности, предусмотренных пунктами 1 - 3 статьи 6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раздела IV настоящего Порядка. К заявлению прилагаются следующие документы:">
        <w:r>
          <w:rPr>
            <w:sz w:val="20"/>
            <w:color w:val="0000ff"/>
          </w:rPr>
          <w:t xml:space="preserve">пунктом 10</w:t>
        </w:r>
      </w:hyperlink>
      <w:r>
        <w:rPr>
          <w:sz w:val="20"/>
        </w:rPr>
        <w:t xml:space="preserve"> настоящего Порядка, требованиям, установленным </w:t>
      </w:r>
      <w:hyperlink w:history="0" r:id="rId83"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подпунктом "в" пункта 4</w:t>
        </w:r>
      </w:hyperlink>
      <w:r>
        <w:rPr>
          <w:sz w:val="20"/>
        </w:rPr>
        <w:t xml:space="preserve"> Общих требований (в случае указания в заявлении в качестве меры государственной поддержки инвестиционной деятельности предоставления субсидии);</w:t>
      </w:r>
    </w:p>
    <w:p>
      <w:pPr>
        <w:pStyle w:val="0"/>
        <w:spacing w:before="200" w:line-rule="auto"/>
        <w:ind w:firstLine="540"/>
        <w:jc w:val="both"/>
      </w:pPr>
      <w:r>
        <w:rPr>
          <w:sz w:val="20"/>
        </w:rPr>
        <w:t xml:space="preserve">2) неустранение в срок перечня замечаний к документам согласно уведомлению министерства, предусмотренному </w:t>
      </w:r>
      <w:hyperlink w:history="0" w:anchor="P123" w:tooltip="14. При несоблюдении инвестором установленных пунктом 10 настоящего Порядка требований к документам, министерство в срок не позднее 15 рабочих дней до даты заседания комиссии направляет инвестору соответствующее уведомление с указанием перечня замечаний.">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инвестором информации, в том числе информации о месте нахождения и адресе юридического лица.</w:t>
      </w:r>
    </w:p>
    <w:p>
      <w:pPr>
        <w:pStyle w:val="0"/>
        <w:jc w:val="both"/>
      </w:pPr>
      <w:r>
        <w:rPr>
          <w:sz w:val="20"/>
        </w:rPr>
        <w:t xml:space="preserve">(п. 17 в ред. </w:t>
      </w:r>
      <w:hyperlink w:history="0" r:id="rId8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18. Заявление на получение мер государственной поддержки инвестиционной деятельности, предусмотренных </w:t>
      </w:r>
      <w:hyperlink w:history="0" r:id="rId8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 </w:t>
      </w:r>
      <w:hyperlink w:history="0" r:id="rId8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рассмотренное ранее на конкурсе, повторно комиссией не рассматривается, если все значения плановых ФЭП проекта инвестором представлены без изменений.</w:t>
      </w:r>
    </w:p>
    <w:p>
      <w:pPr>
        <w:pStyle w:val="0"/>
        <w:spacing w:before="200" w:line-rule="auto"/>
        <w:ind w:firstLine="540"/>
        <w:jc w:val="both"/>
      </w:pPr>
      <w:r>
        <w:rPr>
          <w:sz w:val="20"/>
        </w:rPr>
        <w:t xml:space="preserve">19. Заявления инвесторов на изменение сроков предоставления и объемов, замену (дополнение) мер государственной поддержки инвестиционной деятельности рассматриваются в соответствии с настоящим Порядком в порядке рассмотрения заявлений на получение мер государственной поддержки инвестиционной деятельности, предусмотренных </w:t>
      </w:r>
      <w:hyperlink w:history="0" r:id="rId8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 </w:t>
      </w:r>
      <w:hyperlink w:history="0" r:id="rId8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и предусматривают в отношении инвесторов, признанных победителями конкурса, изменение плановых значений мер государственной поддержки инвестиционной деятельности, предоставленной инвестору по инвестиционному проекту.</w:t>
      </w:r>
    </w:p>
    <w:p>
      <w:pPr>
        <w:pStyle w:val="0"/>
        <w:jc w:val="both"/>
      </w:pPr>
      <w:r>
        <w:rPr>
          <w:sz w:val="20"/>
        </w:rPr>
        <w:t xml:space="preserve">(в ред. </w:t>
      </w:r>
      <w:hyperlink w:history="0" r:id="rId89"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20. Утратил силу. - </w:t>
      </w:r>
      <w:hyperlink w:history="0" r:id="rId9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21. Утратил силу. - </w:t>
      </w:r>
      <w:hyperlink w:history="0" r:id="rId91"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Постановление</w:t>
        </w:r>
      </w:hyperlink>
      <w:r>
        <w:rPr>
          <w:sz w:val="20"/>
        </w:rPr>
        <w:t xml:space="preserve"> Правительства Новосибирской области от 18.05.2020 N 172-п.</w:t>
      </w:r>
    </w:p>
    <w:p>
      <w:pPr>
        <w:pStyle w:val="0"/>
        <w:ind w:firstLine="540"/>
        <w:jc w:val="both"/>
      </w:pPr>
      <w:r>
        <w:rPr>
          <w:sz w:val="20"/>
        </w:rPr>
      </w:r>
    </w:p>
    <w:p>
      <w:pPr>
        <w:pStyle w:val="2"/>
        <w:outlineLvl w:val="1"/>
        <w:jc w:val="center"/>
      </w:pPr>
      <w:r>
        <w:rPr>
          <w:sz w:val="20"/>
        </w:rPr>
        <w:t xml:space="preserve">III. Порядок проведения конкурса</w:t>
      </w:r>
    </w:p>
    <w:p>
      <w:pPr>
        <w:pStyle w:val="0"/>
        <w:ind w:firstLine="540"/>
        <w:jc w:val="both"/>
      </w:pPr>
      <w:r>
        <w:rPr>
          <w:sz w:val="20"/>
        </w:rPr>
      </w:r>
    </w:p>
    <w:p>
      <w:pPr>
        <w:pStyle w:val="0"/>
        <w:ind w:firstLine="540"/>
        <w:jc w:val="both"/>
      </w:pPr>
      <w:r>
        <w:rPr>
          <w:sz w:val="20"/>
        </w:rPr>
        <w:t xml:space="preserve">22. Поступившие в министерство заявления, указанные в </w:t>
      </w:r>
      <w:hyperlink w:history="0" w:anchor="P89" w:tooltip="9. На конкурсе рассматриваются поступившие в министерство заявления на получение мер государственной поддержки инвестиционной деятельности, предусмотренных пунктами 1 - 3 статьи 6 Закона, на изменение сроков предоставления и объемов, замену (дополнение) мер государственной поддержки инвестиционной деятельности, соответствующие требованиям, установленным в пункте 10 Порядка, при выполнении заявителем условий, установленных частью 2 статьи 7 Закона, а также в случае указания в заявлении в качестве меры гос...">
        <w:r>
          <w:rPr>
            <w:sz w:val="20"/>
            <w:color w:val="0000ff"/>
          </w:rPr>
          <w:t xml:space="preserve">пункте 9</w:t>
        </w:r>
      </w:hyperlink>
      <w:r>
        <w:rPr>
          <w:sz w:val="20"/>
        </w:rPr>
        <w:t xml:space="preserve"> настоящего Порядка и отвечающие требованиям настоящего Порядка, проходят экспертизу в соответствии с Порядком проведения экспертизы инвестиционных проектов, претендующих на получение государственной поддержки инвестиционной деятельности.</w:t>
      </w:r>
    </w:p>
    <w:p>
      <w:pPr>
        <w:pStyle w:val="0"/>
        <w:jc w:val="both"/>
      </w:pPr>
      <w:r>
        <w:rPr>
          <w:sz w:val="20"/>
        </w:rPr>
        <w:t xml:space="preserve">(в ред. </w:t>
      </w:r>
      <w:hyperlink w:history="0" r:id="rId9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23. Утратил силу. - </w:t>
      </w:r>
      <w:hyperlink w:history="0" r:id="rId93"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Постановление</w:t>
        </w:r>
      </w:hyperlink>
      <w:r>
        <w:rPr>
          <w:sz w:val="20"/>
        </w:rPr>
        <w:t xml:space="preserve"> Правительства Новосибирской области от 18.05.2020 N 172-п.</w:t>
      </w:r>
    </w:p>
    <w:p>
      <w:pPr>
        <w:pStyle w:val="0"/>
        <w:spacing w:before="200" w:line-rule="auto"/>
        <w:ind w:firstLine="540"/>
        <w:jc w:val="both"/>
      </w:pPr>
      <w:r>
        <w:rPr>
          <w:sz w:val="20"/>
        </w:rPr>
        <w:t xml:space="preserve">24. Министерство направляет членам комиссии повестку заседания комиссии с указанием даты, времени и места заседания комиссии, заключения министерства по перечню инвестиционных проектов, допущенных к участию в конкурсе, в срок не позднее 5 рабочих дней до даты заседания комиссии. Перечень рассматриваемых инвестиционных проектов в повестке заседания комиссии формируется в порядке поступления в министерство от инвесторов документов на конкурс.</w:t>
      </w:r>
    </w:p>
    <w:p>
      <w:pPr>
        <w:pStyle w:val="0"/>
        <w:jc w:val="both"/>
      </w:pPr>
      <w:r>
        <w:rPr>
          <w:sz w:val="20"/>
        </w:rPr>
        <w:t xml:space="preserve">(в ред. постановлений Правительства Новосибирской области от 18.05.2020 </w:t>
      </w:r>
      <w:hyperlink w:history="0" r:id="rId94"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rPr>
        <w:t xml:space="preserve">, от 28.03.2023 </w:t>
      </w:r>
      <w:hyperlink w:history="0" r:id="rId9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p>
      <w:pPr>
        <w:pStyle w:val="0"/>
        <w:spacing w:before="200" w:line-rule="auto"/>
        <w:ind w:firstLine="540"/>
        <w:jc w:val="both"/>
      </w:pPr>
      <w:r>
        <w:rPr>
          <w:sz w:val="20"/>
        </w:rPr>
        <w:t xml:space="preserve">25. Инвесторы имеют право:</w:t>
      </w:r>
    </w:p>
    <w:p>
      <w:pPr>
        <w:pStyle w:val="0"/>
        <w:jc w:val="both"/>
      </w:pPr>
      <w:r>
        <w:rPr>
          <w:sz w:val="20"/>
        </w:rPr>
        <w:t xml:space="preserve">(в ред. </w:t>
      </w:r>
      <w:hyperlink w:history="0" r:id="rId9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 получать от министерства полную информацию об условиях и порядке проведения конкурса в соответствии с письменными запросами, в том числе посредством канала прямой связи на Инвестиционном портале Новосибирской области (</w:t>
      </w:r>
      <w:hyperlink w:history="0" r:id="rId97">
        <w:r>
          <w:rPr>
            <w:sz w:val="20"/>
            <w:color w:val="0000ff"/>
          </w:rPr>
          <w:t xml:space="preserve">www.invest.nso.ru</w:t>
        </w:r>
      </w:hyperlink>
      <w:r>
        <w:rPr>
          <w:sz w:val="20"/>
        </w:rPr>
        <w:t xml:space="preserve">);</w:t>
      </w:r>
    </w:p>
    <w:p>
      <w:pPr>
        <w:pStyle w:val="0"/>
        <w:spacing w:before="200" w:line-rule="auto"/>
        <w:ind w:firstLine="540"/>
        <w:jc w:val="both"/>
      </w:pPr>
      <w:r>
        <w:rPr>
          <w:sz w:val="20"/>
        </w:rPr>
        <w:t xml:space="preserve">2) отозвать заявление путем письменного уведомления министерства.</w:t>
      </w:r>
    </w:p>
    <w:p>
      <w:pPr>
        <w:pStyle w:val="0"/>
        <w:spacing w:before="200" w:line-rule="auto"/>
        <w:ind w:firstLine="540"/>
        <w:jc w:val="both"/>
      </w:pPr>
      <w:r>
        <w:rPr>
          <w:sz w:val="20"/>
        </w:rPr>
        <w:t xml:space="preserve">26. Комиссия определяет победителей конкурса путем голосования.</w:t>
      </w:r>
    </w:p>
    <w:p>
      <w:pPr>
        <w:pStyle w:val="0"/>
        <w:jc w:val="both"/>
      </w:pPr>
      <w:r>
        <w:rPr>
          <w:sz w:val="20"/>
        </w:rPr>
        <w:t xml:space="preserve">(п. 26 в ред. </w:t>
      </w:r>
      <w:hyperlink w:history="0" r:id="rId98"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постановления</w:t>
        </w:r>
      </w:hyperlink>
      <w:r>
        <w:rPr>
          <w:sz w:val="20"/>
        </w:rPr>
        <w:t xml:space="preserve"> Правительства Новосибирской области от 18.05.2020 N 172-п)</w:t>
      </w:r>
    </w:p>
    <w:p>
      <w:pPr>
        <w:pStyle w:val="0"/>
        <w:spacing w:before="200" w:line-rule="auto"/>
        <w:ind w:firstLine="540"/>
        <w:jc w:val="both"/>
      </w:pPr>
      <w:r>
        <w:rPr>
          <w:sz w:val="20"/>
        </w:rPr>
        <w:t xml:space="preserve">27. В течение десяти рабочих дней с даты заседания комиссии министерство:</w:t>
      </w:r>
    </w:p>
    <w:p>
      <w:pPr>
        <w:pStyle w:val="0"/>
        <w:spacing w:before="200" w:line-rule="auto"/>
        <w:ind w:firstLine="540"/>
        <w:jc w:val="both"/>
      </w:pPr>
      <w:r>
        <w:rPr>
          <w:sz w:val="20"/>
        </w:rPr>
        <w:t xml:space="preserve">1) направляет копию протокола заседания комиссии в адрес инвесторов, участвовавших в конкурсе, и в адрес министерства финансов и налоговой политики Новосибирской области (в случае указания в заявлении в качестве меры государственной поддержки инвестиционной деятельности предоставление государственной гарантии Новосибирской области);</w:t>
      </w:r>
    </w:p>
    <w:p>
      <w:pPr>
        <w:pStyle w:val="0"/>
        <w:spacing w:before="200" w:line-rule="auto"/>
        <w:ind w:firstLine="540"/>
        <w:jc w:val="both"/>
      </w:pPr>
      <w:r>
        <w:rPr>
          <w:sz w:val="20"/>
        </w:rPr>
        <w:t xml:space="preserve">2) размещает на официальном сайте министерства, а также на едином портале информацию о результатах рассмотрения заявлений.</w:t>
      </w:r>
    </w:p>
    <w:p>
      <w:pPr>
        <w:pStyle w:val="0"/>
        <w:jc w:val="both"/>
      </w:pPr>
      <w:r>
        <w:rPr>
          <w:sz w:val="20"/>
        </w:rPr>
        <w:t xml:space="preserve">(п. 27 в ред. </w:t>
      </w:r>
      <w:hyperlink w:history="0" r:id="rId99"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28. Министерство в срок, не превышающий 30 дней с даты заседания комиссии:</w:t>
      </w:r>
    </w:p>
    <w:p>
      <w:pPr>
        <w:pStyle w:val="0"/>
        <w:spacing w:before="200" w:line-rule="auto"/>
        <w:ind w:firstLine="540"/>
        <w:jc w:val="both"/>
      </w:pPr>
      <w:r>
        <w:rPr>
          <w:sz w:val="20"/>
        </w:rPr>
        <w:t xml:space="preserve">1) в части предоставления, изменения сроков предоставления и объемов, замены (дополнения) мер государственной поддержки инвестиционной деятельности, предусмотренных </w:t>
      </w:r>
      <w:hyperlink w:history="0" r:id="rId10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w:t>
      </w:r>
      <w:hyperlink w:history="0" r:id="rId101"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в отношении инвесторов, признанных победителями конкурса,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мер, объемов и сроков предоставления государственной поддержки по каждому инвестиционному проекту;</w:t>
      </w:r>
    </w:p>
    <w:p>
      <w:pPr>
        <w:pStyle w:val="0"/>
        <w:jc w:val="both"/>
      </w:pPr>
      <w:r>
        <w:rPr>
          <w:sz w:val="20"/>
        </w:rPr>
        <w:t xml:space="preserve">(в ред. постановлений Правительства Новосибирской области от 22.06.2021 </w:t>
      </w:r>
      <w:hyperlink w:history="0" r:id="rId102"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rPr>
        <w:t xml:space="preserve">, от 28.03.2023 </w:t>
      </w:r>
      <w:hyperlink w:history="0" r:id="rId103"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p>
      <w:pPr>
        <w:pStyle w:val="0"/>
        <w:spacing w:before="200" w:line-rule="auto"/>
        <w:ind w:firstLine="540"/>
        <w:jc w:val="both"/>
      </w:pPr>
      <w:r>
        <w:rPr>
          <w:sz w:val="20"/>
        </w:rPr>
        <w:t xml:space="preserve">2) в отношении инвесторов, по которым принято решение о возобновлении, приостановлении или прекращении государственной поддержки инвестиционной деятельности, обеспечивает подготовку соответствующего проекта распоряжения Правительства Новосибирской области о возобновлении, приостановлении или прекращении государственной поддержки.</w:t>
      </w:r>
    </w:p>
    <w:p>
      <w:pPr>
        <w:pStyle w:val="0"/>
        <w:spacing w:before="200" w:line-rule="auto"/>
        <w:ind w:firstLine="540"/>
        <w:jc w:val="both"/>
      </w:pPr>
      <w:r>
        <w:rPr>
          <w:sz w:val="20"/>
        </w:rPr>
        <w:t xml:space="preserve">29. При наличии оснований, предусмотренных Законом, для возобновления, приостановления или прекращения государственной поддержки инвестиционной деятельности министерство готовит соответствующие материалы по инвестиционному проекту для рассмотрения на ближайшем заседании комиссии.</w:t>
      </w:r>
    </w:p>
    <w:p>
      <w:pPr>
        <w:pStyle w:val="0"/>
        <w:ind w:firstLine="540"/>
        <w:jc w:val="both"/>
      </w:pPr>
      <w:r>
        <w:rPr>
          <w:sz w:val="20"/>
        </w:rPr>
      </w:r>
    </w:p>
    <w:bookmarkStart w:id="160" w:name="P160"/>
    <w:bookmarkEnd w:id="160"/>
    <w:p>
      <w:pPr>
        <w:pStyle w:val="2"/>
        <w:outlineLvl w:val="1"/>
        <w:jc w:val="center"/>
      </w:pPr>
      <w:r>
        <w:rPr>
          <w:sz w:val="20"/>
        </w:rPr>
        <w:t xml:space="preserve">IV. Требования к заявлению инвестора на участие в конкурсе</w:t>
      </w:r>
    </w:p>
    <w:p>
      <w:pPr>
        <w:pStyle w:val="0"/>
        <w:ind w:firstLine="540"/>
        <w:jc w:val="both"/>
      </w:pPr>
      <w:r>
        <w:rPr>
          <w:sz w:val="20"/>
        </w:rPr>
      </w:r>
    </w:p>
    <w:p>
      <w:pPr>
        <w:pStyle w:val="0"/>
        <w:ind w:firstLine="540"/>
        <w:jc w:val="both"/>
      </w:pPr>
      <w:r>
        <w:rPr>
          <w:sz w:val="20"/>
        </w:rPr>
        <w:t xml:space="preserve">30. Заявление, указанное в </w:t>
      </w:r>
      <w:hyperlink w:history="0" w:anchor="P89" w:tooltip="9. На конкурсе рассматриваются поступившие в министерство заявления на получение мер государственной поддержки инвестиционной деятельности, предусмотренных пунктами 1 - 3 статьи 6 Закона, на изменение сроков предоставления и объемов, замену (дополнение) мер государственной поддержки инвестиционной деятельности, соответствующие требованиям, установленным в пункте 10 Порядка, при выполнении заявителем условий, установленных частью 2 статьи 7 Закона, а также в случае указания в заявлении в качестве меры гос...">
        <w:r>
          <w:rPr>
            <w:sz w:val="20"/>
            <w:color w:val="0000ff"/>
          </w:rPr>
          <w:t xml:space="preserve">пункте 9</w:t>
        </w:r>
      </w:hyperlink>
      <w:r>
        <w:rPr>
          <w:sz w:val="20"/>
        </w:rPr>
        <w:t xml:space="preserve"> настоящего Порядка, должно быть подписано уполномоченным лицом и заверено печатью (при наличии печати).</w:t>
      </w:r>
    </w:p>
    <w:p>
      <w:pPr>
        <w:pStyle w:val="0"/>
        <w:jc w:val="both"/>
      </w:pPr>
      <w:r>
        <w:rPr>
          <w:sz w:val="20"/>
        </w:rPr>
        <w:t xml:space="preserve">(в ред. </w:t>
      </w:r>
      <w:hyperlink w:history="0" r:id="rId10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31. Заявление составляется в произвольной форме и должно содержать следующие сведения:</w:t>
      </w:r>
    </w:p>
    <w:p>
      <w:pPr>
        <w:pStyle w:val="0"/>
        <w:jc w:val="both"/>
      </w:pPr>
      <w:r>
        <w:rPr>
          <w:sz w:val="20"/>
        </w:rPr>
        <w:t xml:space="preserve">(в ред. </w:t>
      </w:r>
      <w:hyperlink w:history="0" r:id="rId10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 наименование инвестиционного проекта;</w:t>
      </w:r>
    </w:p>
    <w:p>
      <w:pPr>
        <w:pStyle w:val="0"/>
        <w:spacing w:before="200" w:line-rule="auto"/>
        <w:ind w:firstLine="540"/>
        <w:jc w:val="both"/>
      </w:pPr>
      <w:r>
        <w:rPr>
          <w:sz w:val="20"/>
        </w:rPr>
        <w:t xml:space="preserve">2) место (адрес) реализации инвестиционного проекта;</w:t>
      </w:r>
    </w:p>
    <w:p>
      <w:pPr>
        <w:pStyle w:val="0"/>
        <w:spacing w:before="200" w:line-rule="auto"/>
        <w:ind w:firstLine="540"/>
        <w:jc w:val="both"/>
      </w:pPr>
      <w:r>
        <w:rPr>
          <w:sz w:val="20"/>
        </w:rPr>
        <w:t xml:space="preserve">3) наименование перспективного направления деятельности, к которому относится инвестиционный проект, в соответствии с </w:t>
      </w:r>
      <w:hyperlink w:history="0" r:id="rId106"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постановлением</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pPr>
        <w:pStyle w:val="0"/>
        <w:spacing w:before="200" w:line-rule="auto"/>
        <w:ind w:firstLine="540"/>
        <w:jc w:val="both"/>
      </w:pPr>
      <w:r>
        <w:rPr>
          <w:sz w:val="20"/>
        </w:rPr>
        <w:t xml:space="preserve">4) общая сумма инвестиций, предусмотренная инвестиционным проектом, в миллионах рублей, с округлением до десятых долей;</w:t>
      </w:r>
    </w:p>
    <w:p>
      <w:pPr>
        <w:pStyle w:val="0"/>
        <w:spacing w:before="200" w:line-rule="auto"/>
        <w:ind w:firstLine="540"/>
        <w:jc w:val="both"/>
      </w:pPr>
      <w:r>
        <w:rPr>
          <w:sz w:val="20"/>
        </w:rPr>
        <w:t xml:space="preserve">5) период осуществления инвестиций (инвестиционная фаза) по инвестиционному проекту в годах, с указанием начального и конечного года;</w:t>
      </w:r>
    </w:p>
    <w:p>
      <w:pPr>
        <w:pStyle w:val="0"/>
        <w:spacing w:before="200" w:line-rule="auto"/>
        <w:ind w:firstLine="540"/>
        <w:jc w:val="both"/>
      </w:pPr>
      <w:r>
        <w:rPr>
          <w:sz w:val="20"/>
        </w:rPr>
        <w:t xml:space="preserve">6) планируемый год выхода на окупаемость по инвестиционному проекту;</w:t>
      </w:r>
    </w:p>
    <w:p>
      <w:pPr>
        <w:pStyle w:val="0"/>
        <w:spacing w:before="200" w:line-rule="auto"/>
        <w:ind w:firstLine="540"/>
        <w:jc w:val="both"/>
      </w:pPr>
      <w:r>
        <w:rPr>
          <w:sz w:val="20"/>
        </w:rPr>
        <w:t xml:space="preserve">7) планируемый год выхода на проектную мощность по инвестиционному проекту;</w:t>
      </w:r>
    </w:p>
    <w:p>
      <w:pPr>
        <w:pStyle w:val="0"/>
        <w:spacing w:before="200" w:line-rule="auto"/>
        <w:ind w:firstLine="540"/>
        <w:jc w:val="both"/>
      </w:pPr>
      <w:r>
        <w:rPr>
          <w:sz w:val="20"/>
        </w:rPr>
        <w:t xml:space="preserve">8) сведения о количестве создаваемых новых рабочих мест по инвестиционному проекту;</w:t>
      </w:r>
    </w:p>
    <w:p>
      <w:pPr>
        <w:pStyle w:val="0"/>
        <w:spacing w:before="200" w:line-rule="auto"/>
        <w:ind w:firstLine="540"/>
        <w:jc w:val="both"/>
      </w:pPr>
      <w:r>
        <w:rPr>
          <w:sz w:val="20"/>
        </w:rPr>
        <w:t xml:space="preserve">9) текущее состояние (стадия) реализации инвестиционного проекта;</w:t>
      </w:r>
    </w:p>
    <w:p>
      <w:pPr>
        <w:pStyle w:val="0"/>
        <w:spacing w:before="200" w:line-rule="auto"/>
        <w:ind w:firstLine="540"/>
        <w:jc w:val="both"/>
      </w:pPr>
      <w:r>
        <w:rPr>
          <w:sz w:val="20"/>
        </w:rPr>
        <w:t xml:space="preserve">10) объем необходимой государственной поддержки инвестиционной деятельности в разрезе мер, сроков, в миллионах рублей, с округлением до десятых долей;</w:t>
      </w:r>
    </w:p>
    <w:p>
      <w:pPr>
        <w:pStyle w:val="0"/>
        <w:spacing w:before="200" w:line-rule="auto"/>
        <w:ind w:firstLine="540"/>
        <w:jc w:val="both"/>
      </w:pPr>
      <w:r>
        <w:rPr>
          <w:sz w:val="20"/>
        </w:rPr>
        <w:t xml:space="preserve">11) сведения об инвесторе (ИНН, КПП, коды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ОКВЭД</w:t>
        </w:r>
      </w:hyperlink>
      <w:r>
        <w:rPr>
          <w:sz w:val="20"/>
        </w:rPr>
        <w:t xml:space="preserve">, адрес местонахождения (места жительства), почтовый адрес, адрес электронной почты, банковские реквизиты), а также фамилия, имя, отчество (при наличии) и контактная информация лица, уполномоченного инвестором по вопросам рассмотрения заявления (телефон, адрес электронной почты);</w:t>
      </w:r>
    </w:p>
    <w:p>
      <w:pPr>
        <w:pStyle w:val="0"/>
        <w:jc w:val="both"/>
      </w:pPr>
      <w:r>
        <w:rPr>
          <w:sz w:val="20"/>
        </w:rPr>
        <w:t xml:space="preserve">(в ред. </w:t>
      </w:r>
      <w:hyperlink w:history="0" r:id="rId108"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12) сведения о среднемесячной заработной плате в расчете на одного работника инвестора за предыдущий отчетный период (квартал) либо уведомление о том, что заработная плата не начислялась и не выплачивалась (для инвесторов, не ведущих деятельность на дату подачи заявления);</w:t>
      </w:r>
    </w:p>
    <w:p>
      <w:pPr>
        <w:pStyle w:val="0"/>
        <w:jc w:val="both"/>
      </w:pPr>
      <w:r>
        <w:rPr>
          <w:sz w:val="20"/>
        </w:rPr>
        <w:t xml:space="preserve">(в ред. </w:t>
      </w:r>
      <w:hyperlink w:history="0" r:id="rId109"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13) уведомление об отсутствии у инвестора просроченной задолженности по выплате заработной платы работникам инвестора на дату подачи заявления;</w:t>
      </w:r>
    </w:p>
    <w:p>
      <w:pPr>
        <w:pStyle w:val="0"/>
        <w:jc w:val="both"/>
      </w:pPr>
      <w:r>
        <w:rPr>
          <w:sz w:val="20"/>
        </w:rPr>
        <w:t xml:space="preserve">(в ред. </w:t>
      </w:r>
      <w:hyperlink w:history="0" r:id="rId11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14) уведомление о том, что на дату подачи заявления инвестор не находится в стадии реорганизации (за исключением реорганизации в форме присоединения к инвестору другого юридического лица), ликвидации или банкротства и не имеет ограничения в осуществлении соответствующего вида деятельности;</w:t>
      </w:r>
    </w:p>
    <w:p>
      <w:pPr>
        <w:pStyle w:val="0"/>
        <w:jc w:val="both"/>
      </w:pPr>
      <w:r>
        <w:rPr>
          <w:sz w:val="20"/>
        </w:rPr>
        <w:t xml:space="preserve">(в ред. </w:t>
      </w:r>
      <w:hyperlink w:history="0" r:id="rId11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15) согласие инвестора на публикацию (размещение) в информационно-телекоммуникационной сети "Интернет" информации об инвесторе, о подаваемом инвестором заявлении, иной информации, связанной с соответствующим конкурсным отбором, на обработку представленных данных и включение сведений в государственный реестр инвестиционных проектов Новосибирской области;</w:t>
      </w:r>
    </w:p>
    <w:p>
      <w:pPr>
        <w:pStyle w:val="0"/>
        <w:jc w:val="both"/>
      </w:pPr>
      <w:r>
        <w:rPr>
          <w:sz w:val="20"/>
        </w:rPr>
        <w:t xml:space="preserve">(в ред. </w:t>
      </w:r>
      <w:hyperlink w:history="0" r:id="rId11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16) обязательство инвестора по представлению в налоговый орган </w:t>
      </w:r>
      <w:hyperlink w:history="0" r:id="rId113"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jc w:val="both"/>
      </w:pPr>
      <w:r>
        <w:rPr>
          <w:sz w:val="20"/>
        </w:rPr>
        <w:t xml:space="preserve">(пп. 16 введен </w:t>
      </w:r>
      <w:hyperlink w:history="0" r:id="rId114"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17.10.2023 N 480-п)</w:t>
      </w:r>
    </w:p>
    <w:p>
      <w:pPr>
        <w:pStyle w:val="0"/>
        <w:spacing w:before="200" w:line-rule="auto"/>
        <w:ind w:firstLine="540"/>
        <w:jc w:val="both"/>
      </w:pPr>
      <w:r>
        <w:rPr>
          <w:sz w:val="20"/>
        </w:rPr>
        <w:t xml:space="preserve">17) показатель налоговой нагрузки, рассчитанный за год, предшествующий году подачи заявления, с помощью интернет-сервиса "Налоговый калькулятор по расчету налоговой нагрузки" на сайте ФНС России (</w:t>
      </w:r>
      <w:hyperlink w:history="0" r:id="rId115">
        <w:r>
          <w:rPr>
            <w:sz w:val="20"/>
            <w:color w:val="0000ff"/>
          </w:rPr>
          <w:t xml:space="preserve">https://pb.nalog.ru/calculator.html</w:t>
        </w:r>
      </w:hyperlink>
      <w:r>
        <w:rPr>
          <w:sz w:val="20"/>
        </w:rPr>
        <w:t xml:space="preserve">).</w:t>
      </w:r>
    </w:p>
    <w:p>
      <w:pPr>
        <w:pStyle w:val="0"/>
        <w:jc w:val="both"/>
      </w:pPr>
      <w:r>
        <w:rPr>
          <w:sz w:val="20"/>
        </w:rPr>
        <w:t xml:space="preserve">(пп. 17 введен </w:t>
      </w:r>
      <w:hyperlink w:history="0" r:id="rId116"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17.10.2023 N 480-п)</w:t>
      </w:r>
    </w:p>
    <w:p>
      <w:pPr>
        <w:pStyle w:val="0"/>
        <w:spacing w:before="200" w:line-rule="auto"/>
        <w:ind w:firstLine="540"/>
        <w:jc w:val="both"/>
      </w:pPr>
      <w:r>
        <w:rPr>
          <w:sz w:val="20"/>
        </w:rPr>
        <w:t xml:space="preserve">32. Сведения, содержащиеся в заявлении, должны соответствовать бизнес-плану инвестиционного проекта, плановым ФЭП проекта, а также требованиям законодательства.</w:t>
      </w:r>
    </w:p>
    <w:p>
      <w:pPr>
        <w:pStyle w:val="0"/>
        <w:jc w:val="both"/>
      </w:pPr>
      <w:r>
        <w:rPr>
          <w:sz w:val="20"/>
        </w:rPr>
        <w:t xml:space="preserve">(в ред. </w:t>
      </w:r>
      <w:hyperlink w:history="0" r:id="rId11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33. Сведения, содержащиеся в заявлении, не являются конфиденциальными и подлежат включению в реестры, установленные законодательством Новосибирской области.</w:t>
      </w:r>
    </w:p>
    <w:p>
      <w:pPr>
        <w:pStyle w:val="0"/>
        <w:jc w:val="both"/>
      </w:pPr>
      <w:r>
        <w:rPr>
          <w:sz w:val="20"/>
        </w:rPr>
        <w:t xml:space="preserve">(в ред. </w:t>
      </w:r>
      <w:hyperlink w:history="0" r:id="rId118"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ind w:firstLine="540"/>
        <w:jc w:val="both"/>
      </w:pPr>
      <w:r>
        <w:rPr>
          <w:sz w:val="20"/>
        </w:rPr>
      </w:r>
    </w:p>
    <w:p>
      <w:pPr>
        <w:pStyle w:val="2"/>
        <w:outlineLvl w:val="1"/>
        <w:jc w:val="center"/>
      </w:pPr>
      <w:r>
        <w:rPr>
          <w:sz w:val="20"/>
        </w:rPr>
        <w:t xml:space="preserve">V. Требования к бизнес-плану инвестиционного</w:t>
      </w:r>
    </w:p>
    <w:p>
      <w:pPr>
        <w:pStyle w:val="2"/>
        <w:jc w:val="center"/>
      </w:pPr>
      <w:r>
        <w:rPr>
          <w:sz w:val="20"/>
        </w:rPr>
        <w:t xml:space="preserve">проекта инвестора</w:t>
      </w:r>
    </w:p>
    <w:p>
      <w:pPr>
        <w:pStyle w:val="0"/>
        <w:ind w:firstLine="540"/>
        <w:jc w:val="both"/>
      </w:pPr>
      <w:r>
        <w:rPr>
          <w:sz w:val="20"/>
        </w:rPr>
      </w:r>
    </w:p>
    <w:p>
      <w:pPr>
        <w:pStyle w:val="0"/>
        <w:ind w:firstLine="540"/>
        <w:jc w:val="both"/>
      </w:pPr>
      <w:r>
        <w:rPr>
          <w:sz w:val="20"/>
        </w:rPr>
        <w:t xml:space="preserve">34. Бизнес-план инвестиционного проекта разрабатывается и утверждается инвестором на период, превышающий срок окупаемости инвестиционного проекта и срок достижения параметров бюджетной эффективности, устанавливаемой Правительством Новосибирской области, на один год. Расчеты инвестиционного проекта ведутся с интервалом в один год в ценах соответствующих лет.</w:t>
      </w:r>
    </w:p>
    <w:p>
      <w:pPr>
        <w:pStyle w:val="0"/>
        <w:spacing w:before="200" w:line-rule="auto"/>
        <w:ind w:firstLine="540"/>
        <w:jc w:val="both"/>
      </w:pPr>
      <w:r>
        <w:rPr>
          <w:sz w:val="20"/>
        </w:rPr>
        <w:t xml:space="preserve">35. Бизнес-план инвестиционного проекта должен быть сшит, подписан уполномоченным лицом и заверен печатью (при наличии печати).</w:t>
      </w:r>
    </w:p>
    <w:p>
      <w:pPr>
        <w:pStyle w:val="0"/>
        <w:spacing w:before="200" w:line-rule="auto"/>
        <w:ind w:firstLine="540"/>
        <w:jc w:val="both"/>
      </w:pPr>
      <w:r>
        <w:rPr>
          <w:sz w:val="20"/>
        </w:rPr>
        <w:t xml:space="preserve">36. Бизнес-план инвестиционного проекта должен содержать следующие сведения:</w:t>
      </w:r>
    </w:p>
    <w:p>
      <w:pPr>
        <w:pStyle w:val="0"/>
        <w:spacing w:before="200" w:line-rule="auto"/>
        <w:ind w:firstLine="540"/>
        <w:jc w:val="both"/>
      </w:pPr>
      <w:r>
        <w:rPr>
          <w:sz w:val="20"/>
        </w:rPr>
        <w:t xml:space="preserve">1) наименование инвестиционного проекта, дата утверждения бизнес-плана инвестиционного проекта инвестором, а также дата, на которую представленные в бизнес-плане инвестиционного проекта сведения являются актуальными;</w:t>
      </w:r>
    </w:p>
    <w:p>
      <w:pPr>
        <w:pStyle w:val="0"/>
        <w:spacing w:before="200" w:line-rule="auto"/>
        <w:ind w:firstLine="540"/>
        <w:jc w:val="both"/>
      </w:pPr>
      <w:r>
        <w:rPr>
          <w:sz w:val="20"/>
        </w:rPr>
        <w:t xml:space="preserve">2) краткое описание (резюме) инвестиционного проекта;</w:t>
      </w:r>
    </w:p>
    <w:p>
      <w:pPr>
        <w:pStyle w:val="0"/>
        <w:spacing w:before="200" w:line-rule="auto"/>
        <w:ind w:firstLine="540"/>
        <w:jc w:val="both"/>
      </w:pPr>
      <w:r>
        <w:rPr>
          <w:sz w:val="20"/>
        </w:rPr>
        <w:t xml:space="preserve">3) сведения об инвесторе и его текущей деятельности: опыт работы, производимая продукция (работы, услуги) (при наличии), сведения о других организациях, участвующих в реализации инвестиционного проекта (при наличии);</w:t>
      </w:r>
    </w:p>
    <w:p>
      <w:pPr>
        <w:pStyle w:val="0"/>
        <w:spacing w:before="200" w:line-rule="auto"/>
        <w:ind w:firstLine="540"/>
        <w:jc w:val="both"/>
      </w:pPr>
      <w:r>
        <w:rPr>
          <w:sz w:val="20"/>
        </w:rPr>
        <w:t xml:space="preserve">4) текущее состояние (стадия) реализации инвестиционного проекта;</w:t>
      </w:r>
    </w:p>
    <w:p>
      <w:pPr>
        <w:pStyle w:val="0"/>
        <w:spacing w:before="200" w:line-rule="auto"/>
        <w:ind w:firstLine="540"/>
        <w:jc w:val="both"/>
      </w:pPr>
      <w:r>
        <w:rPr>
          <w:sz w:val="20"/>
        </w:rPr>
        <w:t xml:space="preserve">5) характеристика планируемой продукции (работ, услуг) и рынка сбыта: основные характеристики планируемой продукции (работ, услуг), наличие конкурентных преимуществ, характеристика существующего рынка сбыта (объем рынка, текущие и планируемые цены на продукцию и услуги), характеристика отрасли и существующих и потенциальных потребителей, оценка эффекта от региональной кооперации при реализации инвестиционного проекта;</w:t>
      </w:r>
    </w:p>
    <w:p>
      <w:pPr>
        <w:pStyle w:val="0"/>
        <w:spacing w:before="200" w:line-rule="auto"/>
        <w:ind w:firstLine="540"/>
        <w:jc w:val="both"/>
      </w:pPr>
      <w:r>
        <w:rPr>
          <w:sz w:val="20"/>
        </w:rPr>
        <w:t xml:space="preserve">6) характеристика используемых в инвестиционном проекте оборудования и технологий: характеристика используемого оборудования (наименование, стоимость, мощность), сведения о применении инновационных и наукоемких технологий, наличии сертификатов, лицензий, иных нематериальных активов;</w:t>
      </w:r>
    </w:p>
    <w:p>
      <w:pPr>
        <w:pStyle w:val="0"/>
        <w:spacing w:before="200" w:line-rule="auto"/>
        <w:ind w:firstLine="540"/>
        <w:jc w:val="both"/>
      </w:pPr>
      <w:r>
        <w:rPr>
          <w:sz w:val="20"/>
        </w:rPr>
        <w:t xml:space="preserve">7) инфраструктурное обеспечение инвестиционного проекта и экологические вопросы производства продукции (работ, услуг): место (адрес) реализации инвестиционного проекта, сведения о земельных участках для реализации инвестиционного проекта, о наличии сетей водоснабжения, канализования, газоснабжения, заявляемое максимальное потребление электрической мощности, тепловой мощности, необходимых для реализации инвестиционного проекта, сведения о наличии соответствующих согласований, разрешений, проектной документации на объекты инвестиционного проекта, факторы воздействия инвестиционного проекта на окружающую среду, сведения об экологической экспертизе;</w:t>
      </w:r>
    </w:p>
    <w:p>
      <w:pPr>
        <w:pStyle w:val="0"/>
        <w:spacing w:before="200" w:line-rule="auto"/>
        <w:ind w:firstLine="540"/>
        <w:jc w:val="both"/>
      </w:pPr>
      <w:r>
        <w:rPr>
          <w:sz w:val="20"/>
        </w:rPr>
        <w:t xml:space="preserve">8) организационный план инвестиционного проекта, включая обоснованную программу обеспечения трудовыми ресурсами, необходимыми для реализации инвестиционного проекта, подготовленную в соответствии с методическими рекомендациями, утвержденными приказом министерства труда и социального развития Новосибирской области;</w:t>
      </w:r>
    </w:p>
    <w:p>
      <w:pPr>
        <w:pStyle w:val="0"/>
        <w:spacing w:before="200" w:line-rule="auto"/>
        <w:ind w:firstLine="540"/>
        <w:jc w:val="both"/>
      </w:pPr>
      <w:r>
        <w:rPr>
          <w:sz w:val="20"/>
        </w:rPr>
        <w:t xml:space="preserve">9) производственный план и план продаж продукции (работ, услуг) инвестиционного проекта;</w:t>
      </w:r>
    </w:p>
    <w:p>
      <w:pPr>
        <w:pStyle w:val="0"/>
        <w:spacing w:before="200" w:line-rule="auto"/>
        <w:ind w:firstLine="540"/>
        <w:jc w:val="both"/>
      </w:pPr>
      <w:r>
        <w:rPr>
          <w:sz w:val="20"/>
        </w:rPr>
        <w:t xml:space="preserve">10) финансовый план и план инвестиционных затрат инвестиционного проекта, включая план операционных затрат в разрезе постоянных и переменных затрат, сводный бюджет доходов и расходов в разрезе операционной, финансовой и инвестиционной деятельности (с учетом планируемой государственной поддержки инвестиционной деятельности), план отчислений в разрезе налогов, сборов и иных обязательных платежей в бюджеты бюджетной системы Российской Федерации, план необходимой государственной поддержки инвестиционной деятельности в разрезе мер;</w:t>
      </w:r>
    </w:p>
    <w:p>
      <w:pPr>
        <w:pStyle w:val="0"/>
        <w:spacing w:before="200" w:line-rule="auto"/>
        <w:ind w:firstLine="540"/>
        <w:jc w:val="both"/>
      </w:pPr>
      <w:r>
        <w:rPr>
          <w:sz w:val="20"/>
        </w:rPr>
        <w:t xml:space="preserve">11) показатели эффективности инвестиционного проекта (рентабельность продаж, срок окупаемости инвестиционного проекта, внутренняя норма доходности (IRR) и чистый дисконтированный доход (NPV) с применением ставки дисконтирования, равной размеру ключевой ставки Центрального банка Российской Федерации, действующей на дату утверждения инвестором бизнес-плана инвестиционного проекта, рассчитываемые за период, превышающий срок окупаемости инвестиционного проекта на один год, количество создаваемых новых рабочих мест по инвестиционному проекту, показатель результативности, под которым понимается показатель бюджетной эффективности, рассчитываемый в соответствии с </w:t>
      </w:r>
      <w:hyperlink w:history="0" r:id="rId119"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пунктом 2</w:t>
        </w:r>
      </w:hyperlink>
      <w:r>
        <w:rPr>
          <w:sz w:val="20"/>
        </w:rP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pPr>
        <w:pStyle w:val="0"/>
        <w:spacing w:before="200" w:line-rule="auto"/>
        <w:ind w:firstLine="540"/>
        <w:jc w:val="both"/>
      </w:pPr>
      <w:r>
        <w:rPr>
          <w:sz w:val="20"/>
        </w:rPr>
        <w:t xml:space="preserve">12) оценка рисков инвестиционного проекта.</w:t>
      </w:r>
    </w:p>
    <w:p>
      <w:pPr>
        <w:pStyle w:val="0"/>
        <w:spacing w:before="200" w:line-rule="auto"/>
        <w:ind w:firstLine="540"/>
        <w:jc w:val="both"/>
      </w:pPr>
      <w:r>
        <w:rPr>
          <w:sz w:val="20"/>
        </w:rPr>
        <w:t xml:space="preserve">37. Сведения, представленные в бизнес-плане инвестиционного проекта, должны соответствовать требованиям законодательства.</w:t>
      </w:r>
    </w:p>
    <w:p>
      <w:pPr>
        <w:pStyle w:val="0"/>
        <w:spacing w:before="200" w:line-rule="auto"/>
        <w:ind w:firstLine="540"/>
        <w:jc w:val="both"/>
      </w:pPr>
      <w:r>
        <w:rPr>
          <w:sz w:val="20"/>
        </w:rPr>
        <w:t xml:space="preserve">38. Сведения, представленные в бизнес-плане инвестиционного проекта и плановых ФЭП проекта, изменяются после рассмотрения инвестиционного проекта на конкурсе исключительно в отношении сроков и объемов государственной поддержки инвестиционной деятельности в случае их изменения по решению комиссии от указанных в заявлении.</w:t>
      </w:r>
    </w:p>
    <w:p>
      <w:pPr>
        <w:pStyle w:val="0"/>
        <w:jc w:val="both"/>
      </w:pPr>
      <w:r>
        <w:rPr>
          <w:sz w:val="20"/>
        </w:rPr>
        <w:t xml:space="preserve">(в ред. </w:t>
      </w:r>
      <w:hyperlink w:history="0" r:id="rId12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ind w:firstLine="540"/>
        <w:jc w:val="both"/>
      </w:pPr>
      <w:r>
        <w:rPr>
          <w:sz w:val="20"/>
        </w:rPr>
      </w:r>
    </w:p>
    <w:p>
      <w:pPr>
        <w:pStyle w:val="2"/>
        <w:outlineLvl w:val="1"/>
        <w:jc w:val="center"/>
      </w:pPr>
      <w:r>
        <w:rPr>
          <w:sz w:val="20"/>
        </w:rPr>
        <w:t xml:space="preserve">VI. Требования к документам, подтверждающим</w:t>
      </w:r>
    </w:p>
    <w:p>
      <w:pPr>
        <w:pStyle w:val="2"/>
        <w:jc w:val="center"/>
      </w:pPr>
      <w:r>
        <w:rPr>
          <w:sz w:val="20"/>
        </w:rPr>
        <w:t xml:space="preserve">соблюдение инвестором требований законодательства</w:t>
      </w:r>
    </w:p>
    <w:p>
      <w:pPr>
        <w:pStyle w:val="0"/>
        <w:jc w:val="center"/>
      </w:pPr>
      <w:r>
        <w:rPr>
          <w:sz w:val="20"/>
        </w:rPr>
        <w:t xml:space="preserve">(в ред. </w:t>
      </w:r>
      <w:hyperlink w:history="0" r:id="rId12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28.03.2023 N 127-п)</w:t>
      </w:r>
    </w:p>
    <w:p>
      <w:pPr>
        <w:pStyle w:val="0"/>
        <w:ind w:firstLine="540"/>
        <w:jc w:val="both"/>
      </w:pPr>
      <w:r>
        <w:rPr>
          <w:sz w:val="20"/>
        </w:rPr>
      </w:r>
    </w:p>
    <w:bookmarkStart w:id="222" w:name="P222"/>
    <w:bookmarkEnd w:id="222"/>
    <w:p>
      <w:pPr>
        <w:pStyle w:val="0"/>
        <w:ind w:firstLine="540"/>
        <w:jc w:val="both"/>
      </w:pPr>
      <w:r>
        <w:rPr>
          <w:sz w:val="20"/>
        </w:rPr>
        <w:t xml:space="preserve">39. Вместе с заявлением инвестором в министерство представляются следующие документы и сведения по состоянию не ранее чем на первое число месяца, в котором заявление направляется в министерство для подтверждения соблюдения условий, определенных </w:t>
      </w:r>
      <w:hyperlink w:history="0" r:id="rId12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а также требований, определенных </w:t>
      </w:r>
      <w:hyperlink w:history="0" r:id="rId123"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подпунктом "в" пункта 4</w:t>
        </w:r>
      </w:hyperlink>
      <w:r>
        <w:rPr>
          <w:sz w:val="20"/>
        </w:rPr>
        <w:t xml:space="preserve"> Общих требований (в случае указания в заявлении в качестве меры государственной поддержки инвестиционной деятельности предоставление субсидии):</w:t>
      </w:r>
    </w:p>
    <w:p>
      <w:pPr>
        <w:pStyle w:val="0"/>
        <w:jc w:val="both"/>
      </w:pPr>
      <w:r>
        <w:rPr>
          <w:sz w:val="20"/>
        </w:rPr>
        <w:t xml:space="preserve">(в ред. </w:t>
      </w:r>
      <w:hyperlink w:history="0" r:id="rId124"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 в отношении соответствия инвестора условию о вложении инвестиций в соответствии с перспективными направлениями инвестиционной деятельности - соответствующие сведения в тексте заявления;</w:t>
      </w:r>
    </w:p>
    <w:p>
      <w:pPr>
        <w:pStyle w:val="0"/>
        <w:jc w:val="both"/>
      </w:pPr>
      <w:r>
        <w:rPr>
          <w:sz w:val="20"/>
        </w:rPr>
        <w:t xml:space="preserve">(в ред. </w:t>
      </w:r>
      <w:hyperlink w:history="0" r:id="rId12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 в отношении отсутствия у инвестора просроченной задолженности по выплате заработной платы работникам инвестора на дату подачи заявления - соответствующие сведения в тексте заявления;</w:t>
      </w:r>
    </w:p>
    <w:p>
      <w:pPr>
        <w:pStyle w:val="0"/>
        <w:jc w:val="both"/>
      </w:pPr>
      <w:r>
        <w:rPr>
          <w:sz w:val="20"/>
        </w:rPr>
        <w:t xml:space="preserve">(в ред. </w:t>
      </w:r>
      <w:hyperlink w:history="0" r:id="rId12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 в отношении документального подтверждения инвестором наличия привлекаемых для реализации инвестиционного проекта средств -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w:t>
      </w:r>
    </w:p>
    <w:p>
      <w:pPr>
        <w:pStyle w:val="0"/>
        <w:spacing w:before="200" w:line-rule="auto"/>
        <w:ind w:firstLine="540"/>
        <w:jc w:val="both"/>
      </w:pPr>
      <w:r>
        <w:rPr>
          <w:sz w:val="20"/>
        </w:rPr>
        <w:t xml:space="preserve">4) в отношении условия, согласно которому на дату подачи заявления инвестор не должен находиться в стадии реорганизации (за исключением реорганизации в форме присоединения к инвестору другого юридического лица), ликвидации или банкротства и иметь ограничения в осуществлении соответствующего вида деятельности, - соответствующие сведения в тексте заявления;</w:t>
      </w:r>
    </w:p>
    <w:p>
      <w:pPr>
        <w:pStyle w:val="0"/>
        <w:jc w:val="both"/>
      </w:pPr>
      <w:r>
        <w:rPr>
          <w:sz w:val="20"/>
        </w:rPr>
        <w:t xml:space="preserve">(в ред. </w:t>
      </w:r>
      <w:hyperlink w:history="0" r:id="rId12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5) в отношении превышения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 соответствующие сведения в тексте заявления;</w:t>
      </w:r>
    </w:p>
    <w:p>
      <w:pPr>
        <w:pStyle w:val="0"/>
        <w:jc w:val="both"/>
      </w:pPr>
      <w:r>
        <w:rPr>
          <w:sz w:val="20"/>
        </w:rPr>
        <w:t xml:space="preserve">(в ред. постановлений Правительства Новосибирской области от 22.06.2021 </w:t>
      </w:r>
      <w:hyperlink w:history="0" r:id="rId128"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rPr>
        <w:t xml:space="preserve">, от 28.03.2023 </w:t>
      </w:r>
      <w:hyperlink w:history="0" r:id="rId129"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p>
      <w:pPr>
        <w:pStyle w:val="0"/>
        <w:spacing w:before="200" w:line-rule="auto"/>
        <w:ind w:firstLine="540"/>
        <w:jc w:val="both"/>
      </w:pPr>
      <w:r>
        <w:rPr>
          <w:sz w:val="20"/>
        </w:rPr>
        <w:t xml:space="preserve">6) в отношении наличия обоснованной программы обеспечения трудовыми ресурсами, необходимыми для реализации инвестиционного проекта, - соответствующие сведения в составе бизнес-плана инвестиционного проекта;</w:t>
      </w:r>
    </w:p>
    <w:p>
      <w:pPr>
        <w:pStyle w:val="0"/>
        <w:spacing w:before="200" w:line-rule="auto"/>
        <w:ind w:firstLine="540"/>
        <w:jc w:val="both"/>
      </w:pPr>
      <w:r>
        <w:rPr>
          <w:sz w:val="20"/>
        </w:rPr>
        <w:t xml:space="preserve">7) в отношении отсутствия у инвестора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подача заявления.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pPr>
        <w:pStyle w:val="0"/>
        <w:jc w:val="both"/>
      </w:pPr>
      <w:r>
        <w:rPr>
          <w:sz w:val="20"/>
        </w:rPr>
        <w:t xml:space="preserve">(в ред. постановлений Правительства Новосибирской области от 28.03.2023 </w:t>
      </w:r>
      <w:hyperlink w:history="0" r:id="rId13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 от 25.07.2023 </w:t>
      </w:r>
      <w:hyperlink w:history="0" r:id="rId131"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8) в отношении отсутствия у инвестора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 (в случае указания в заявлении в качестве меры государственной поддержки инвестиционной деятельности предоставления субсидии, если такие требования предусмотрены правовым актом, регулирующим предоставление субсидий) - соответствующие сведения в тексте заявления;</w:t>
      </w:r>
    </w:p>
    <w:p>
      <w:pPr>
        <w:pStyle w:val="0"/>
        <w:jc w:val="both"/>
      </w:pPr>
      <w:r>
        <w:rPr>
          <w:sz w:val="20"/>
        </w:rPr>
        <w:t xml:space="preserve">(пп. 8 введен </w:t>
      </w:r>
      <w:hyperlink w:history="0" r:id="rId13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9) в отношении условия, согласно которому инвестор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случае указания в заявлении в качестве меры государственной поддержки инвестиционной деятельности предоставления субсидии) - соответствующие сведения в тексте заявления;</w:t>
      </w:r>
    </w:p>
    <w:p>
      <w:pPr>
        <w:pStyle w:val="0"/>
        <w:jc w:val="both"/>
      </w:pPr>
      <w:r>
        <w:rPr>
          <w:sz w:val="20"/>
        </w:rPr>
        <w:t xml:space="preserve">(пп. 9 введен </w:t>
      </w:r>
      <w:hyperlink w:history="0" r:id="rId133"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10) в отношении условия, согласно которому инвестор не должен получать средства из областного бюджета Новосибирской области на цели, определенные порядками предоставления субсидий, установленными </w:t>
      </w:r>
      <w:hyperlink w:history="0" r:id="rId134" w:tooltip="Постановление Правительства Новосибирской области от 01.04.2015 N 126-п (ред. от 17.09.2024) &quot;О государственной программе Новосибирской области &quot;Стимулирование инвестиционной активности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на основании иных нормативных правовых актов Новосибирской области (в случае указания в заявлении в качестве меры государственной поддержки инвестиционной деятельности предоставления субсидии) - соответствующие сведения в тексте заявления;</w:t>
      </w:r>
    </w:p>
    <w:p>
      <w:pPr>
        <w:pStyle w:val="0"/>
        <w:jc w:val="both"/>
      </w:pPr>
      <w:r>
        <w:rPr>
          <w:sz w:val="20"/>
        </w:rPr>
        <w:t xml:space="preserve">(пп. 10 введен </w:t>
      </w:r>
      <w:hyperlink w:history="0" r:id="rId13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11) в отношении условия, согласно которому инвестор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указания в заявлении в качестве меры государственной поддержки инвестиционной деятельности предоставления субсидии, если такие требования предусмотрены правовым актом, регулирующим предоставление субсидий) - соответствующие сведения в тексте заявления.</w:t>
      </w:r>
    </w:p>
    <w:p>
      <w:pPr>
        <w:pStyle w:val="0"/>
        <w:jc w:val="both"/>
      </w:pPr>
      <w:r>
        <w:rPr>
          <w:sz w:val="20"/>
        </w:rPr>
        <w:t xml:space="preserve">(пп. 11 введен </w:t>
      </w:r>
      <w:hyperlink w:history="0" r:id="rId13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организации и проведения конкурса</w:t>
      </w:r>
    </w:p>
    <w:p>
      <w:pPr>
        <w:pStyle w:val="0"/>
        <w:jc w:val="right"/>
      </w:pPr>
      <w:r>
        <w:rPr>
          <w:sz w:val="20"/>
        </w:rPr>
        <w:t xml:space="preserve">инвестиционных проектов на территории</w:t>
      </w:r>
    </w:p>
    <w:p>
      <w:pPr>
        <w:pStyle w:val="0"/>
        <w:jc w:val="right"/>
      </w:pPr>
      <w:r>
        <w:rPr>
          <w:sz w:val="20"/>
        </w:rPr>
        <w:t xml:space="preserve">Новосибирской области</w:t>
      </w:r>
    </w:p>
    <w:p>
      <w:pPr>
        <w:pStyle w:val="0"/>
        <w:ind w:firstLine="540"/>
        <w:jc w:val="both"/>
      </w:pPr>
      <w:r>
        <w:rPr>
          <w:sz w:val="20"/>
        </w:rPr>
      </w:r>
    </w:p>
    <w:bookmarkStart w:id="255" w:name="P255"/>
    <w:bookmarkEnd w:id="255"/>
    <w:p>
      <w:pPr>
        <w:pStyle w:val="1"/>
        <w:jc w:val="both"/>
      </w:pPr>
      <w:r>
        <w:rPr>
          <w:sz w:val="20"/>
        </w:rPr>
        <w:t xml:space="preserve">            Плановые финансово-экономические показатели проекта</w:t>
      </w:r>
    </w:p>
    <w:p>
      <w:pPr>
        <w:pStyle w:val="1"/>
        <w:jc w:val="both"/>
      </w:pPr>
      <w:r>
        <w:rPr>
          <w:sz w:val="20"/>
        </w:rPr>
      </w:r>
    </w:p>
    <w:p>
      <w:pPr>
        <w:pStyle w:val="1"/>
        <w:jc w:val="both"/>
      </w:pPr>
      <w:r>
        <w:rPr>
          <w:sz w:val="20"/>
        </w:rPr>
        <w:t xml:space="preserve">Наименование инвестиционного проекта ______________________________________</w:t>
      </w:r>
    </w:p>
    <w:p>
      <w:pPr>
        <w:pStyle w:val="1"/>
        <w:jc w:val="both"/>
      </w:pPr>
      <w:r>
        <w:rPr>
          <w:sz w:val="20"/>
        </w:rPr>
        <w:t xml:space="preserve">Наименование инвестора ____________________________________________________</w:t>
      </w:r>
    </w:p>
    <w:p>
      <w:pPr>
        <w:pStyle w:val="1"/>
        <w:jc w:val="both"/>
      </w:pPr>
      <w:r>
        <w:rPr>
          <w:sz w:val="20"/>
        </w:rPr>
        <w:t xml:space="preserve">Начало реализации инвестиционного проекта (месяц, год) 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251"/>
        <w:gridCol w:w="1190"/>
        <w:gridCol w:w="907"/>
        <w:gridCol w:w="907"/>
        <w:gridCol w:w="907"/>
      </w:tblGrid>
      <w:tr>
        <w:tc>
          <w:tcPr>
            <w:tcW w:w="907" w:type="dxa"/>
            <w:vMerge w:val="restart"/>
          </w:tcPr>
          <w:p>
            <w:pPr>
              <w:pStyle w:val="0"/>
              <w:jc w:val="center"/>
            </w:pPr>
            <w:r>
              <w:rPr>
                <w:sz w:val="20"/>
              </w:rPr>
              <w:t xml:space="preserve">N п/п</w:t>
            </w:r>
          </w:p>
        </w:tc>
        <w:tc>
          <w:tcPr>
            <w:tcW w:w="4251" w:type="dxa"/>
            <w:vMerge w:val="restart"/>
          </w:tcPr>
          <w:p>
            <w:pPr>
              <w:pStyle w:val="0"/>
              <w:jc w:val="center"/>
            </w:pPr>
            <w:r>
              <w:rPr>
                <w:sz w:val="20"/>
              </w:rPr>
              <w:t xml:space="preserve">Показатели</w:t>
            </w:r>
          </w:p>
        </w:tc>
        <w:tc>
          <w:tcPr>
            <w:tcW w:w="1190" w:type="dxa"/>
            <w:vMerge w:val="restart"/>
          </w:tcPr>
          <w:p>
            <w:pPr>
              <w:pStyle w:val="0"/>
              <w:jc w:val="center"/>
            </w:pPr>
            <w:r>
              <w:rPr>
                <w:sz w:val="20"/>
              </w:rPr>
              <w:t xml:space="preserve">С начала реализации проекта</w:t>
            </w:r>
          </w:p>
        </w:tc>
        <w:tc>
          <w:tcPr>
            <w:gridSpan w:val="2"/>
            <w:tcW w:w="1814" w:type="dxa"/>
          </w:tcPr>
          <w:p>
            <w:pPr>
              <w:pStyle w:val="0"/>
              <w:jc w:val="center"/>
            </w:pPr>
            <w:r>
              <w:rPr>
                <w:sz w:val="20"/>
              </w:rPr>
              <w:t xml:space="preserve">Годы</w:t>
            </w:r>
          </w:p>
        </w:tc>
        <w:tc>
          <w:tcPr>
            <w:tcW w:w="907" w:type="dxa"/>
            <w:vMerge w:val="restart"/>
          </w:tcPr>
          <w:p>
            <w:pPr>
              <w:pStyle w:val="0"/>
              <w:jc w:val="center"/>
            </w:pPr>
            <w:r>
              <w:rPr>
                <w:sz w:val="20"/>
              </w:rPr>
              <w:t xml:space="preserve">Всего</w:t>
            </w:r>
          </w:p>
        </w:tc>
      </w:tr>
      <w:tr>
        <w:tc>
          <w:tcPr>
            <w:vMerge w:val="continue"/>
          </w:tcPr>
          <w:p/>
        </w:tc>
        <w:tc>
          <w:tcPr>
            <w:vMerge w:val="continue"/>
          </w:tcPr>
          <w:p/>
        </w:tc>
        <w:tc>
          <w:tcPr>
            <w:vMerge w:val="continue"/>
          </w:tcP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vMerge w:val="continue"/>
          </w:tcPr>
          <w:p/>
        </w:tc>
      </w:tr>
      <w:tr>
        <w:tc>
          <w:tcPr>
            <w:tcW w:w="907" w:type="dxa"/>
          </w:tcPr>
          <w:bookmarkStart w:id="268" w:name="P268"/>
          <w:bookmarkEnd w:id="268"/>
          <w:p>
            <w:pPr>
              <w:pStyle w:val="0"/>
              <w:outlineLvl w:val="2"/>
            </w:pPr>
            <w:r>
              <w:rPr>
                <w:sz w:val="20"/>
              </w:rPr>
              <w:t xml:space="preserve">1</w:t>
            </w:r>
          </w:p>
        </w:tc>
        <w:tc>
          <w:tcPr>
            <w:gridSpan w:val="5"/>
            <w:tcW w:w="8162" w:type="dxa"/>
          </w:tcPr>
          <w:p>
            <w:pPr>
              <w:pStyle w:val="0"/>
              <w:jc w:val="center"/>
            </w:pPr>
            <w:r>
              <w:rPr>
                <w:sz w:val="20"/>
              </w:rPr>
              <w:t xml:space="preserve">Инвестиции в проект, млн. руб.</w:t>
            </w:r>
          </w:p>
        </w:tc>
      </w:tr>
      <w:tr>
        <w:tc>
          <w:tcPr>
            <w:tcW w:w="907" w:type="dxa"/>
          </w:tcPr>
          <w:bookmarkStart w:id="270" w:name="P270"/>
          <w:bookmarkEnd w:id="270"/>
          <w:p>
            <w:pPr>
              <w:pStyle w:val="0"/>
            </w:pPr>
            <w:r>
              <w:rPr>
                <w:sz w:val="20"/>
              </w:rPr>
              <w:t xml:space="preserve">1.1</w:t>
            </w:r>
          </w:p>
        </w:tc>
        <w:tc>
          <w:tcPr>
            <w:tcW w:w="4251" w:type="dxa"/>
          </w:tcPr>
          <w:p>
            <w:pPr>
              <w:pStyle w:val="0"/>
            </w:pPr>
            <w:r>
              <w:rPr>
                <w:sz w:val="20"/>
              </w:rPr>
              <w:t xml:space="preserve">Инвестиционные затраты (с НДС),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w:t>
            </w:r>
          </w:p>
        </w:tc>
        <w:tc>
          <w:tcPr>
            <w:tcW w:w="4251" w:type="dxa"/>
          </w:tcPr>
          <w:p>
            <w:pPr>
              <w:pStyle w:val="0"/>
            </w:pPr>
            <w:r>
              <w:rPr>
                <w:sz w:val="20"/>
              </w:rPr>
              <w:t xml:space="preserve">Инвестиционные затраты (без НДС), всего, в том числе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282" w:name="P282"/>
          <w:bookmarkEnd w:id="282"/>
          <w:p>
            <w:pPr>
              <w:pStyle w:val="0"/>
            </w:pPr>
            <w:r>
              <w:rPr>
                <w:sz w:val="20"/>
              </w:rPr>
              <w:t xml:space="preserve">1.2.1</w:t>
            </w:r>
          </w:p>
        </w:tc>
        <w:tc>
          <w:tcPr>
            <w:tcW w:w="4251" w:type="dxa"/>
          </w:tcPr>
          <w:p>
            <w:pPr>
              <w:pStyle w:val="0"/>
            </w:pPr>
            <w:r>
              <w:rPr>
                <w:sz w:val="20"/>
              </w:rPr>
              <w:t xml:space="preserve">Капитальные вложения,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1.2.1.1</w:t>
            </w:r>
          </w:p>
        </w:tc>
        <w:tc>
          <w:tcPr>
            <w:tcW w:w="4251" w:type="dxa"/>
          </w:tcPr>
          <w:p>
            <w:pPr>
              <w:pStyle w:val="0"/>
            </w:pPr>
            <w:r>
              <w:rPr>
                <w:sz w:val="20"/>
              </w:rPr>
              <w:t xml:space="preserve">строительно-монтажные работы</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1.2.1.2</w:t>
            </w:r>
          </w:p>
        </w:tc>
        <w:tc>
          <w:tcPr>
            <w:tcW w:w="4251" w:type="dxa"/>
          </w:tcPr>
          <w:p>
            <w:pPr>
              <w:pStyle w:val="0"/>
            </w:pPr>
            <w:r>
              <w:rPr>
                <w:sz w:val="20"/>
              </w:rPr>
              <w:t xml:space="preserve">машины, оборудование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1.2.1.3</w:t>
            </w:r>
          </w:p>
        </w:tc>
        <w:tc>
          <w:tcPr>
            <w:tcW w:w="4251" w:type="dxa"/>
          </w:tcPr>
          <w:p>
            <w:pPr>
              <w:pStyle w:val="0"/>
            </w:pPr>
            <w:r>
              <w:rPr>
                <w:sz w:val="20"/>
              </w:rPr>
              <w:t xml:space="preserve">прочие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1.2.2</w:t>
            </w:r>
          </w:p>
        </w:tc>
        <w:tc>
          <w:tcPr>
            <w:tcW w:w="4251" w:type="dxa"/>
          </w:tcPr>
          <w:p>
            <w:pPr>
              <w:pStyle w:val="0"/>
            </w:pPr>
            <w:r>
              <w:rPr>
                <w:sz w:val="20"/>
              </w:rPr>
              <w:t xml:space="preserve">Вложения в нематериальные активы,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1.3</w:t>
            </w:r>
          </w:p>
        </w:tc>
        <w:tc>
          <w:tcPr>
            <w:tcW w:w="4251" w:type="dxa"/>
          </w:tcPr>
          <w:p>
            <w:pPr>
              <w:pStyle w:val="0"/>
            </w:pPr>
            <w:r>
              <w:rPr>
                <w:sz w:val="20"/>
              </w:rPr>
              <w:t xml:space="preserve">Из </w:t>
            </w:r>
            <w:hyperlink w:history="0" w:anchor="P270" w:tooltip="1.1">
              <w:r>
                <w:rPr>
                  <w:sz w:val="20"/>
                  <w:color w:val="0000ff"/>
                </w:rPr>
                <w:t xml:space="preserve">пункта 1.1</w:t>
              </w:r>
            </w:hyperlink>
            <w:r>
              <w:rPr>
                <w:sz w:val="20"/>
              </w:rPr>
              <w:t xml:space="preserve"> за счет собственных средств</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1.4</w:t>
            </w:r>
          </w:p>
        </w:tc>
        <w:tc>
          <w:tcPr>
            <w:tcW w:w="4251" w:type="dxa"/>
          </w:tcPr>
          <w:p>
            <w:pPr>
              <w:pStyle w:val="0"/>
            </w:pPr>
            <w:r>
              <w:rPr>
                <w:sz w:val="20"/>
              </w:rPr>
              <w:t xml:space="preserve">Из </w:t>
            </w:r>
            <w:hyperlink w:history="0" w:anchor="P270" w:tooltip="1.1">
              <w:r>
                <w:rPr>
                  <w:sz w:val="20"/>
                  <w:color w:val="0000ff"/>
                </w:rPr>
                <w:t xml:space="preserve">пункта 1.1</w:t>
              </w:r>
            </w:hyperlink>
            <w:r>
              <w:rPr>
                <w:sz w:val="20"/>
              </w:rPr>
              <w:t xml:space="preserve"> за счет заемных средств</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324" w:name="P324"/>
          <w:bookmarkEnd w:id="324"/>
          <w:p>
            <w:pPr>
              <w:pStyle w:val="0"/>
              <w:outlineLvl w:val="2"/>
            </w:pPr>
            <w:r>
              <w:rPr>
                <w:sz w:val="20"/>
              </w:rPr>
              <w:t xml:space="preserve">2</w:t>
            </w:r>
          </w:p>
        </w:tc>
        <w:tc>
          <w:tcPr>
            <w:gridSpan w:val="5"/>
            <w:tcW w:w="8162" w:type="dxa"/>
          </w:tcPr>
          <w:p>
            <w:pPr>
              <w:pStyle w:val="0"/>
              <w:jc w:val="center"/>
            </w:pPr>
            <w:r>
              <w:rPr>
                <w:sz w:val="20"/>
              </w:rPr>
              <w:t xml:space="preserve">Операционная деятельность (без НДС), млн. руб.</w:t>
            </w:r>
          </w:p>
        </w:tc>
      </w:tr>
      <w:tr>
        <w:tc>
          <w:tcPr>
            <w:tcW w:w="907" w:type="dxa"/>
          </w:tcPr>
          <w:p>
            <w:pPr>
              <w:pStyle w:val="0"/>
            </w:pPr>
            <w:r>
              <w:rPr>
                <w:sz w:val="20"/>
              </w:rPr>
              <w:t xml:space="preserve">2.1</w:t>
            </w:r>
          </w:p>
        </w:tc>
        <w:tc>
          <w:tcPr>
            <w:tcW w:w="4251" w:type="dxa"/>
          </w:tcPr>
          <w:p>
            <w:pPr>
              <w:pStyle w:val="0"/>
            </w:pPr>
            <w:r>
              <w:rPr>
                <w:sz w:val="20"/>
              </w:rPr>
              <w:t xml:space="preserve">Выручка</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2.2</w:t>
            </w:r>
          </w:p>
        </w:tc>
        <w:tc>
          <w:tcPr>
            <w:tcW w:w="4251" w:type="dxa"/>
          </w:tcPr>
          <w:p>
            <w:pPr>
              <w:pStyle w:val="0"/>
            </w:pPr>
            <w:r>
              <w:rPr>
                <w:sz w:val="20"/>
              </w:rPr>
              <w:t xml:space="preserve">Прибыль от продаж</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outlineLvl w:val="2"/>
            </w:pPr>
            <w:r>
              <w:rPr>
                <w:sz w:val="20"/>
              </w:rPr>
              <w:t xml:space="preserve">3</w:t>
            </w:r>
          </w:p>
        </w:tc>
        <w:tc>
          <w:tcPr>
            <w:gridSpan w:val="5"/>
            <w:tcW w:w="8162" w:type="dxa"/>
          </w:tcPr>
          <w:p>
            <w:pPr>
              <w:pStyle w:val="0"/>
              <w:jc w:val="center"/>
            </w:pPr>
            <w:r>
              <w:rPr>
                <w:sz w:val="20"/>
              </w:rPr>
              <w:t xml:space="preserve">Операционная деятельность по проекту (без НДС), млн. руб.</w:t>
            </w:r>
          </w:p>
        </w:tc>
      </w:tr>
      <w:tr>
        <w:tc>
          <w:tcPr>
            <w:tcW w:w="907" w:type="dxa"/>
          </w:tcPr>
          <w:p>
            <w:pPr>
              <w:pStyle w:val="0"/>
            </w:pPr>
            <w:r>
              <w:rPr>
                <w:sz w:val="20"/>
              </w:rPr>
              <w:t xml:space="preserve">3.1</w:t>
            </w:r>
          </w:p>
        </w:tc>
        <w:tc>
          <w:tcPr>
            <w:tcW w:w="4251" w:type="dxa"/>
          </w:tcPr>
          <w:p>
            <w:pPr>
              <w:pStyle w:val="0"/>
            </w:pPr>
            <w:r>
              <w:rPr>
                <w:sz w:val="20"/>
              </w:rPr>
              <w:t xml:space="preserve">Выручка</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3.2</w:t>
            </w:r>
          </w:p>
        </w:tc>
        <w:tc>
          <w:tcPr>
            <w:tcW w:w="4251" w:type="dxa"/>
          </w:tcPr>
          <w:p>
            <w:pPr>
              <w:pStyle w:val="0"/>
            </w:pPr>
            <w:r>
              <w:rPr>
                <w:sz w:val="20"/>
              </w:rPr>
              <w:t xml:space="preserve">Себестоимость продаж</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3.3</w:t>
            </w:r>
          </w:p>
        </w:tc>
        <w:tc>
          <w:tcPr>
            <w:tcW w:w="4251" w:type="dxa"/>
          </w:tcPr>
          <w:p>
            <w:pPr>
              <w:pStyle w:val="0"/>
            </w:pPr>
            <w:r>
              <w:rPr>
                <w:sz w:val="20"/>
              </w:rPr>
              <w:t xml:space="preserve">Коммерческие расходы</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3.4</w:t>
            </w:r>
          </w:p>
        </w:tc>
        <w:tc>
          <w:tcPr>
            <w:tcW w:w="4251" w:type="dxa"/>
          </w:tcPr>
          <w:p>
            <w:pPr>
              <w:pStyle w:val="0"/>
            </w:pPr>
            <w:r>
              <w:rPr>
                <w:sz w:val="20"/>
              </w:rPr>
              <w:t xml:space="preserve">Управленческие расходы</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3.5</w:t>
            </w:r>
          </w:p>
        </w:tc>
        <w:tc>
          <w:tcPr>
            <w:tcW w:w="4251" w:type="dxa"/>
          </w:tcPr>
          <w:p>
            <w:pPr>
              <w:pStyle w:val="0"/>
            </w:pPr>
            <w:r>
              <w:rPr>
                <w:sz w:val="20"/>
              </w:rPr>
              <w:t xml:space="preserve">Прибыль от продаж</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outlineLvl w:val="2"/>
            </w:pPr>
            <w:r>
              <w:rPr>
                <w:sz w:val="20"/>
              </w:rPr>
              <w:t xml:space="preserve">4</w:t>
            </w:r>
          </w:p>
        </w:tc>
        <w:tc>
          <w:tcPr>
            <w:gridSpan w:val="5"/>
            <w:tcW w:w="8162" w:type="dxa"/>
          </w:tcPr>
          <w:p>
            <w:pPr>
              <w:pStyle w:val="0"/>
              <w:jc w:val="center"/>
            </w:pPr>
            <w:r>
              <w:rPr>
                <w:sz w:val="20"/>
              </w:rPr>
              <w:t xml:space="preserve">Финансовая деятельность (без НДС), млн. руб.</w:t>
            </w:r>
          </w:p>
        </w:tc>
      </w:tr>
      <w:tr>
        <w:tc>
          <w:tcPr>
            <w:tcW w:w="907" w:type="dxa"/>
          </w:tcPr>
          <w:p>
            <w:pPr>
              <w:pStyle w:val="0"/>
            </w:pPr>
            <w:r>
              <w:rPr>
                <w:sz w:val="20"/>
              </w:rPr>
              <w:t xml:space="preserve">4.1</w:t>
            </w:r>
          </w:p>
        </w:tc>
        <w:tc>
          <w:tcPr>
            <w:tcW w:w="4251" w:type="dxa"/>
          </w:tcPr>
          <w:p>
            <w:pPr>
              <w:pStyle w:val="0"/>
            </w:pPr>
            <w:r>
              <w:rPr>
                <w:sz w:val="20"/>
              </w:rPr>
              <w:t xml:space="preserve">Доходы от участия в других организациях</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4.2</w:t>
            </w:r>
          </w:p>
        </w:tc>
        <w:tc>
          <w:tcPr>
            <w:tcW w:w="4251" w:type="dxa"/>
          </w:tcPr>
          <w:p>
            <w:pPr>
              <w:pStyle w:val="0"/>
            </w:pPr>
            <w:r>
              <w:rPr>
                <w:sz w:val="20"/>
              </w:rPr>
              <w:t xml:space="preserve">Проценты к получению</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4.2.1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4.3</w:t>
            </w:r>
          </w:p>
        </w:tc>
        <w:tc>
          <w:tcPr>
            <w:tcW w:w="4251" w:type="dxa"/>
          </w:tcPr>
          <w:p>
            <w:pPr>
              <w:pStyle w:val="0"/>
            </w:pPr>
            <w:r>
              <w:rPr>
                <w:sz w:val="20"/>
              </w:rPr>
              <w:t xml:space="preserve">Проценты к уплате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4.3.1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402" w:name="P402"/>
          <w:bookmarkEnd w:id="402"/>
          <w:p>
            <w:pPr>
              <w:pStyle w:val="0"/>
              <w:outlineLvl w:val="2"/>
            </w:pPr>
            <w:r>
              <w:rPr>
                <w:sz w:val="20"/>
              </w:rPr>
              <w:t xml:space="preserve">5</w:t>
            </w:r>
          </w:p>
        </w:tc>
        <w:tc>
          <w:tcPr>
            <w:gridSpan w:val="5"/>
            <w:tcW w:w="8162" w:type="dxa"/>
          </w:tcPr>
          <w:p>
            <w:pPr>
              <w:pStyle w:val="0"/>
              <w:jc w:val="center"/>
            </w:pPr>
            <w:r>
              <w:rPr>
                <w:sz w:val="20"/>
              </w:rPr>
              <w:t xml:space="preserve">Прочие доходы и расходы (без НДС), млн. руб.</w:t>
            </w:r>
          </w:p>
        </w:tc>
      </w:tr>
      <w:tr>
        <w:tc>
          <w:tcPr>
            <w:tcW w:w="907" w:type="dxa"/>
          </w:tcPr>
          <w:p>
            <w:pPr>
              <w:pStyle w:val="0"/>
            </w:pPr>
            <w:r>
              <w:rPr>
                <w:sz w:val="20"/>
              </w:rPr>
              <w:t xml:space="preserve">5.1</w:t>
            </w:r>
          </w:p>
        </w:tc>
        <w:tc>
          <w:tcPr>
            <w:tcW w:w="4251" w:type="dxa"/>
          </w:tcPr>
          <w:p>
            <w:pPr>
              <w:pStyle w:val="0"/>
            </w:pPr>
            <w:r>
              <w:rPr>
                <w:sz w:val="20"/>
              </w:rPr>
              <w:t xml:space="preserve">Прочие доходы (включая субсидии)</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5.1.1</w:t>
            </w:r>
          </w:p>
        </w:tc>
        <w:tc>
          <w:tcPr>
            <w:tcW w:w="4251" w:type="dxa"/>
          </w:tcPr>
          <w:p>
            <w:pPr>
              <w:pStyle w:val="0"/>
            </w:pPr>
            <w:r>
              <w:rPr>
                <w:sz w:val="20"/>
              </w:rPr>
              <w:t xml:space="preserve">в том числе по проекту (включая субсидии)</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5.2</w:t>
            </w:r>
          </w:p>
        </w:tc>
        <w:tc>
          <w:tcPr>
            <w:tcW w:w="4251" w:type="dxa"/>
          </w:tcPr>
          <w:p>
            <w:pPr>
              <w:pStyle w:val="0"/>
            </w:pPr>
            <w:r>
              <w:rPr>
                <w:sz w:val="20"/>
              </w:rPr>
              <w:t xml:space="preserve">Прочие расходы</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5.2.1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428" w:name="P428"/>
          <w:bookmarkEnd w:id="428"/>
          <w:p>
            <w:pPr>
              <w:pStyle w:val="0"/>
              <w:outlineLvl w:val="2"/>
            </w:pPr>
            <w:r>
              <w:rPr>
                <w:sz w:val="20"/>
              </w:rPr>
              <w:t xml:space="preserve">6</w:t>
            </w:r>
          </w:p>
        </w:tc>
        <w:tc>
          <w:tcPr>
            <w:gridSpan w:val="5"/>
            <w:tcW w:w="8162" w:type="dxa"/>
          </w:tcPr>
          <w:p>
            <w:pPr>
              <w:pStyle w:val="0"/>
              <w:jc w:val="center"/>
            </w:pPr>
            <w:r>
              <w:rPr>
                <w:sz w:val="20"/>
              </w:rPr>
              <w:t xml:space="preserve">Финансовые результаты, млн. руб.</w:t>
            </w:r>
          </w:p>
        </w:tc>
      </w:tr>
      <w:tr>
        <w:tc>
          <w:tcPr>
            <w:tcW w:w="907" w:type="dxa"/>
          </w:tcPr>
          <w:p>
            <w:pPr>
              <w:pStyle w:val="0"/>
            </w:pPr>
            <w:r>
              <w:rPr>
                <w:sz w:val="20"/>
              </w:rPr>
              <w:t xml:space="preserve">6.1</w:t>
            </w:r>
          </w:p>
        </w:tc>
        <w:tc>
          <w:tcPr>
            <w:tcW w:w="4251" w:type="dxa"/>
          </w:tcPr>
          <w:p>
            <w:pPr>
              <w:pStyle w:val="0"/>
            </w:pPr>
            <w:r>
              <w:rPr>
                <w:sz w:val="20"/>
              </w:rPr>
              <w:t xml:space="preserve">Прибыль до налогообложения</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6.1.1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6.2</w:t>
            </w:r>
          </w:p>
        </w:tc>
        <w:tc>
          <w:tcPr>
            <w:tcW w:w="4251" w:type="dxa"/>
          </w:tcPr>
          <w:p>
            <w:pPr>
              <w:pStyle w:val="0"/>
            </w:pPr>
            <w:r>
              <w:rPr>
                <w:sz w:val="20"/>
              </w:rPr>
              <w:t xml:space="preserve">Налог на прибыль организаций (на доходы физических лиц индивидуального предпринимателя) за вычетом льгот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6.2.1</w:t>
            </w:r>
          </w:p>
        </w:tc>
        <w:tc>
          <w:tcPr>
            <w:tcW w:w="4251" w:type="dxa"/>
          </w:tcPr>
          <w:p>
            <w:pPr>
              <w:pStyle w:val="0"/>
            </w:pPr>
            <w:r>
              <w:rPr>
                <w:sz w:val="20"/>
              </w:rPr>
              <w:t xml:space="preserve">в том числе по проекту (за вычетом льгот)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6.3</w:t>
            </w:r>
          </w:p>
        </w:tc>
        <w:tc>
          <w:tcPr>
            <w:tcW w:w="4251" w:type="dxa"/>
          </w:tcPr>
          <w:p>
            <w:pPr>
              <w:pStyle w:val="0"/>
            </w:pPr>
            <w:r>
              <w:rPr>
                <w:sz w:val="20"/>
              </w:rPr>
              <w:t xml:space="preserve">Чистая прибыль</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460" w:name="P460"/>
          <w:bookmarkEnd w:id="460"/>
          <w:p>
            <w:pPr>
              <w:pStyle w:val="0"/>
            </w:pPr>
            <w:r>
              <w:rPr>
                <w:sz w:val="20"/>
              </w:rPr>
              <w:t xml:space="preserve">6.3.1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466" w:name="P466"/>
          <w:bookmarkEnd w:id="466"/>
          <w:p>
            <w:pPr>
              <w:pStyle w:val="0"/>
              <w:outlineLvl w:val="2"/>
            </w:pPr>
            <w:r>
              <w:rPr>
                <w:sz w:val="20"/>
              </w:rPr>
              <w:t xml:space="preserve">7</w:t>
            </w:r>
          </w:p>
        </w:tc>
        <w:tc>
          <w:tcPr>
            <w:gridSpan w:val="5"/>
            <w:tcW w:w="8162" w:type="dxa"/>
          </w:tcPr>
          <w:p>
            <w:pPr>
              <w:pStyle w:val="0"/>
              <w:jc w:val="center"/>
            </w:pPr>
            <w:r>
              <w:rPr>
                <w:sz w:val="20"/>
              </w:rPr>
              <w:t xml:space="preserve">Основные средства, млн. руб.</w:t>
            </w:r>
          </w:p>
        </w:tc>
      </w:tr>
      <w:tr>
        <w:tc>
          <w:tcPr>
            <w:tcW w:w="907" w:type="dxa"/>
          </w:tcPr>
          <w:p>
            <w:pPr>
              <w:pStyle w:val="0"/>
            </w:pPr>
            <w:r>
              <w:rPr>
                <w:sz w:val="20"/>
              </w:rPr>
              <w:t xml:space="preserve">7.1</w:t>
            </w:r>
          </w:p>
        </w:tc>
        <w:tc>
          <w:tcPr>
            <w:tcW w:w="4251" w:type="dxa"/>
          </w:tcPr>
          <w:p>
            <w:pPr>
              <w:pStyle w:val="0"/>
            </w:pPr>
            <w:r>
              <w:rPr>
                <w:sz w:val="20"/>
              </w:rPr>
              <w:t xml:space="preserve">Остаточная стоимость основных средств на конец периода,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x</w:t>
            </w:r>
          </w:p>
        </w:tc>
      </w:tr>
      <w:tr>
        <w:tc>
          <w:tcPr>
            <w:tcW w:w="907" w:type="dxa"/>
          </w:tcPr>
          <w:p>
            <w:pPr>
              <w:pStyle w:val="0"/>
            </w:pPr>
            <w:r>
              <w:rPr>
                <w:sz w:val="20"/>
              </w:rPr>
              <w:t xml:space="preserve">7.1.1</w:t>
            </w:r>
          </w:p>
        </w:tc>
        <w:tc>
          <w:tcPr>
            <w:tcW w:w="4251" w:type="dxa"/>
          </w:tcPr>
          <w:p>
            <w:pPr>
              <w:pStyle w:val="0"/>
            </w:pPr>
            <w:r>
              <w:rPr>
                <w:sz w:val="20"/>
              </w:rPr>
              <w:t xml:space="preserve">в том числе основных средств, используемых в проекте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x</w:t>
            </w:r>
          </w:p>
        </w:tc>
      </w:tr>
      <w:tr>
        <w:tc>
          <w:tcPr>
            <w:tcW w:w="907" w:type="dxa"/>
          </w:tcPr>
          <w:p>
            <w:pPr>
              <w:pStyle w:val="0"/>
            </w:pPr>
            <w:r>
              <w:rPr>
                <w:sz w:val="20"/>
              </w:rPr>
              <w:t xml:space="preserve">7.2</w:t>
            </w:r>
          </w:p>
        </w:tc>
        <w:tc>
          <w:tcPr>
            <w:tcW w:w="4251" w:type="dxa"/>
          </w:tcPr>
          <w:p>
            <w:pPr>
              <w:pStyle w:val="0"/>
            </w:pPr>
            <w:r>
              <w:rPr>
                <w:sz w:val="20"/>
              </w:rPr>
              <w:t xml:space="preserve">Амортизация основных средств</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486" w:name="P486"/>
          <w:bookmarkEnd w:id="486"/>
          <w:p>
            <w:pPr>
              <w:pStyle w:val="0"/>
            </w:pPr>
            <w:r>
              <w:rPr>
                <w:sz w:val="20"/>
              </w:rPr>
              <w:t xml:space="preserve">7.2.1</w:t>
            </w:r>
          </w:p>
        </w:tc>
        <w:tc>
          <w:tcPr>
            <w:tcW w:w="4251" w:type="dxa"/>
          </w:tcPr>
          <w:p>
            <w:pPr>
              <w:pStyle w:val="0"/>
            </w:pPr>
            <w:r>
              <w:rPr>
                <w:sz w:val="20"/>
              </w:rPr>
              <w:t xml:space="preserve">в том числе используемых в проекте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outlineLvl w:val="2"/>
            </w:pPr>
            <w:r>
              <w:rPr>
                <w:sz w:val="20"/>
              </w:rPr>
              <w:t xml:space="preserve">8</w:t>
            </w:r>
          </w:p>
        </w:tc>
        <w:tc>
          <w:tcPr>
            <w:gridSpan w:val="5"/>
            <w:tcW w:w="8162" w:type="dxa"/>
          </w:tcPr>
          <w:p>
            <w:pPr>
              <w:pStyle w:val="0"/>
              <w:jc w:val="center"/>
            </w:pPr>
            <w:r>
              <w:rPr>
                <w:sz w:val="20"/>
              </w:rPr>
              <w:t xml:space="preserve">Государственная поддержка проекта, млн. руб.</w:t>
            </w:r>
          </w:p>
        </w:tc>
      </w:tr>
      <w:tr>
        <w:tc>
          <w:tcPr>
            <w:tcW w:w="907" w:type="dxa"/>
          </w:tcPr>
          <w:bookmarkStart w:id="494" w:name="P494"/>
          <w:bookmarkEnd w:id="494"/>
          <w:p>
            <w:pPr>
              <w:pStyle w:val="0"/>
            </w:pPr>
            <w:r>
              <w:rPr>
                <w:sz w:val="20"/>
              </w:rPr>
              <w:t xml:space="preserve">8.1</w:t>
            </w:r>
          </w:p>
        </w:tc>
        <w:tc>
          <w:tcPr>
            <w:tcW w:w="4251" w:type="dxa"/>
          </w:tcPr>
          <w:p>
            <w:pPr>
              <w:pStyle w:val="0"/>
            </w:pPr>
            <w:r>
              <w:rPr>
                <w:sz w:val="20"/>
              </w:rPr>
              <w:t xml:space="preserve">из федерального бюджета,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500" w:name="P500"/>
          <w:bookmarkEnd w:id="500"/>
          <w:p>
            <w:pPr>
              <w:pStyle w:val="0"/>
            </w:pPr>
            <w:r>
              <w:rPr>
                <w:sz w:val="20"/>
              </w:rPr>
              <w:t xml:space="preserve">8.2</w:t>
            </w:r>
          </w:p>
        </w:tc>
        <w:tc>
          <w:tcPr>
            <w:tcW w:w="4251" w:type="dxa"/>
          </w:tcPr>
          <w:p>
            <w:pPr>
              <w:pStyle w:val="0"/>
            </w:pPr>
            <w:r>
              <w:rPr>
                <w:sz w:val="20"/>
              </w:rPr>
              <w:t xml:space="preserve">из бюджета Новосибирской области по </w:t>
            </w:r>
            <w:hyperlink w:history="0" r:id="rId13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Закону</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8.2.1</w:t>
            </w:r>
          </w:p>
        </w:tc>
        <w:tc>
          <w:tcPr>
            <w:tcW w:w="4251" w:type="dxa"/>
          </w:tcPr>
          <w:p>
            <w:pPr>
              <w:pStyle w:val="0"/>
            </w:pPr>
            <w:r>
              <w:rPr>
                <w:sz w:val="20"/>
              </w:rPr>
              <w:t xml:space="preserve">субсидии для компенсации части процентной ставки по банковским кредитам</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8.2.2</w:t>
            </w:r>
          </w:p>
        </w:tc>
        <w:tc>
          <w:tcPr>
            <w:tcW w:w="4251" w:type="dxa"/>
          </w:tcPr>
          <w:p>
            <w:pPr>
              <w:pStyle w:val="0"/>
            </w:pPr>
            <w:r>
              <w:rPr>
                <w:sz w:val="20"/>
              </w:rPr>
              <w:t xml:space="preserve">субсидии для компенсации части лизинговых платежей</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8.2.3</w:t>
            </w:r>
          </w:p>
        </w:tc>
        <w:tc>
          <w:tcPr>
            <w:tcW w:w="4251" w:type="dxa"/>
          </w:tcPr>
          <w:p>
            <w:pPr>
              <w:pStyle w:val="0"/>
            </w:pPr>
            <w:r>
              <w:rPr>
                <w:sz w:val="20"/>
              </w:rPr>
              <w:t xml:space="preserve">субсидии для возмещения части их затрат на выполнение работ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8.2.4</w:t>
            </w:r>
          </w:p>
        </w:tc>
        <w:tc>
          <w:tcPr>
            <w:tcW w:w="4251" w:type="dxa"/>
          </w:tcPr>
          <w:p>
            <w:pPr>
              <w:pStyle w:val="0"/>
            </w:pPr>
            <w:r>
              <w:rPr>
                <w:sz w:val="20"/>
              </w:rPr>
              <w:t xml:space="preserve">субсидии для возмещения части затрат на приобретение нового технологического оборудования</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8.2.5</w:t>
            </w:r>
          </w:p>
        </w:tc>
        <w:tc>
          <w:tcPr>
            <w:tcW w:w="4251" w:type="dxa"/>
          </w:tcPr>
          <w:p>
            <w:pPr>
              <w:pStyle w:val="0"/>
            </w:pPr>
            <w:r>
              <w:rPr>
                <w:sz w:val="20"/>
              </w:rPr>
              <w:t xml:space="preserve">субсидии прочие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8.2.6</w:t>
            </w:r>
          </w:p>
        </w:tc>
        <w:tc>
          <w:tcPr>
            <w:tcW w:w="4251" w:type="dxa"/>
          </w:tcPr>
          <w:p>
            <w:pPr>
              <w:pStyle w:val="0"/>
            </w:pPr>
            <w:r>
              <w:rPr>
                <w:sz w:val="20"/>
              </w:rPr>
              <w:t xml:space="preserve">льгота по налогу на прибыль организаций</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8.2.7</w:t>
            </w:r>
          </w:p>
        </w:tc>
        <w:tc>
          <w:tcPr>
            <w:tcW w:w="4251" w:type="dxa"/>
          </w:tcPr>
          <w:p>
            <w:pPr>
              <w:pStyle w:val="0"/>
            </w:pPr>
            <w:r>
              <w:rPr>
                <w:sz w:val="20"/>
              </w:rPr>
              <w:t xml:space="preserve">льгота по налогу на имущество организаций</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548" w:name="P548"/>
          <w:bookmarkEnd w:id="548"/>
          <w:p>
            <w:pPr>
              <w:pStyle w:val="0"/>
            </w:pPr>
            <w:r>
              <w:rPr>
                <w:sz w:val="20"/>
              </w:rPr>
              <w:t xml:space="preserve">8.3</w:t>
            </w:r>
          </w:p>
        </w:tc>
        <w:tc>
          <w:tcPr>
            <w:tcW w:w="4251" w:type="dxa"/>
          </w:tcPr>
          <w:p>
            <w:pPr>
              <w:pStyle w:val="0"/>
            </w:pPr>
            <w:r>
              <w:rPr>
                <w:sz w:val="20"/>
              </w:rPr>
              <w:t xml:space="preserve">из бюджета Новосибирской области по другим программам поддержки</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8.3.1.</w:t>
            </w:r>
          </w:p>
        </w:tc>
        <w:tc>
          <w:tcPr>
            <w:tcW w:w="4251" w:type="dxa"/>
          </w:tcPr>
          <w:p>
            <w:pPr>
              <w:pStyle w:val="0"/>
            </w:pPr>
            <w:r>
              <w:rPr>
                <w:sz w:val="20"/>
              </w:rPr>
              <w:t xml:space="preserve">(указываются наименования каждой меры государственной поддержки)</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560" w:name="P560"/>
          <w:bookmarkEnd w:id="560"/>
          <w:p>
            <w:pPr>
              <w:pStyle w:val="0"/>
              <w:outlineLvl w:val="2"/>
            </w:pPr>
            <w:r>
              <w:rPr>
                <w:sz w:val="20"/>
              </w:rPr>
              <w:t xml:space="preserve">9</w:t>
            </w:r>
          </w:p>
        </w:tc>
        <w:tc>
          <w:tcPr>
            <w:gridSpan w:val="5"/>
            <w:tcW w:w="8162" w:type="dxa"/>
          </w:tcPr>
          <w:p>
            <w:pPr>
              <w:pStyle w:val="0"/>
              <w:jc w:val="center"/>
            </w:pPr>
            <w:r>
              <w:rPr>
                <w:sz w:val="20"/>
              </w:rPr>
              <w:t xml:space="preserve">Налоговые начисления по проекту, млн. руб.</w:t>
            </w:r>
          </w:p>
        </w:tc>
      </w:tr>
      <w:tr>
        <w:tc>
          <w:tcPr>
            <w:tcW w:w="907" w:type="dxa"/>
          </w:tcPr>
          <w:p>
            <w:pPr>
              <w:pStyle w:val="0"/>
            </w:pPr>
            <w:r>
              <w:rPr>
                <w:sz w:val="20"/>
              </w:rPr>
              <w:t xml:space="preserve">9.1</w:t>
            </w:r>
          </w:p>
        </w:tc>
        <w:tc>
          <w:tcPr>
            <w:tcW w:w="4251" w:type="dxa"/>
          </w:tcPr>
          <w:p>
            <w:pPr>
              <w:pStyle w:val="0"/>
            </w:pPr>
            <w:r>
              <w:rPr>
                <w:sz w:val="20"/>
              </w:rPr>
              <w:t xml:space="preserve">В федеральный бюджет,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568" w:name="P568"/>
          <w:bookmarkEnd w:id="568"/>
          <w:p>
            <w:pPr>
              <w:pStyle w:val="0"/>
            </w:pPr>
            <w:r>
              <w:rPr>
                <w:sz w:val="20"/>
              </w:rPr>
              <w:t xml:space="preserve">9.2</w:t>
            </w:r>
          </w:p>
        </w:tc>
        <w:tc>
          <w:tcPr>
            <w:tcW w:w="4251" w:type="dxa"/>
          </w:tcPr>
          <w:p>
            <w:pPr>
              <w:pStyle w:val="0"/>
            </w:pPr>
            <w:r>
              <w:rPr>
                <w:sz w:val="20"/>
              </w:rPr>
              <w:t xml:space="preserve">В консолидированный бюджет Новосибирской области,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9.2.1</w:t>
            </w:r>
          </w:p>
        </w:tc>
        <w:tc>
          <w:tcPr>
            <w:tcW w:w="4251" w:type="dxa"/>
          </w:tcPr>
          <w:p>
            <w:pPr>
              <w:pStyle w:val="0"/>
            </w:pPr>
            <w:r>
              <w:rPr>
                <w:sz w:val="20"/>
              </w:rPr>
              <w:t xml:space="preserve">налог, взимаемый в связи с применением упрощенной системы налогообложения (УСН)</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9.2.2</w:t>
            </w:r>
          </w:p>
        </w:tc>
        <w:tc>
          <w:tcPr>
            <w:tcW w:w="4251" w:type="dxa"/>
          </w:tcPr>
          <w:p>
            <w:pPr>
              <w:pStyle w:val="0"/>
            </w:pPr>
            <w:r>
              <w:rPr>
                <w:sz w:val="20"/>
              </w:rPr>
              <w:t xml:space="preserve">налог на прибыль организаций (на доходы физических лиц индивидуального предпринимателя) за вычетом льгот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9.2.3</w:t>
            </w:r>
          </w:p>
        </w:tc>
        <w:tc>
          <w:tcPr>
            <w:tcW w:w="4251" w:type="dxa"/>
          </w:tcPr>
          <w:p>
            <w:pPr>
              <w:pStyle w:val="0"/>
            </w:pPr>
            <w:r>
              <w:rPr>
                <w:sz w:val="20"/>
              </w:rPr>
              <w:t xml:space="preserve">налог на имущество (за вычетом льгот)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9.2.4</w:t>
            </w:r>
          </w:p>
        </w:tc>
        <w:tc>
          <w:tcPr>
            <w:tcW w:w="4251" w:type="dxa"/>
          </w:tcPr>
          <w:p>
            <w:pPr>
              <w:pStyle w:val="0"/>
            </w:pPr>
            <w:r>
              <w:rPr>
                <w:sz w:val="20"/>
              </w:rPr>
              <w:t xml:space="preserve">налог на доходы физических лиц (работников, участвующих в инвестиционном проекте)</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9.2.5</w:t>
            </w:r>
          </w:p>
        </w:tc>
        <w:tc>
          <w:tcPr>
            <w:tcW w:w="4251" w:type="dxa"/>
          </w:tcPr>
          <w:p>
            <w:pPr>
              <w:pStyle w:val="0"/>
            </w:pPr>
            <w:r>
              <w:rPr>
                <w:sz w:val="20"/>
              </w:rPr>
              <w:t xml:space="preserve">транспортный налог</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9.2.6</w:t>
            </w:r>
          </w:p>
        </w:tc>
        <w:tc>
          <w:tcPr>
            <w:tcW w:w="4251" w:type="dxa"/>
          </w:tcPr>
          <w:p>
            <w:pPr>
              <w:pStyle w:val="0"/>
            </w:pPr>
            <w:r>
              <w:rPr>
                <w:sz w:val="20"/>
              </w:rPr>
              <w:t xml:space="preserve">земельный налог</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9.2.7</w:t>
            </w:r>
          </w:p>
        </w:tc>
        <w:tc>
          <w:tcPr>
            <w:tcW w:w="4251" w:type="dxa"/>
          </w:tcPr>
          <w:p>
            <w:pPr>
              <w:pStyle w:val="0"/>
            </w:pPr>
            <w:r>
              <w:rPr>
                <w:sz w:val="20"/>
              </w:rPr>
              <w:t xml:space="preserve">единый налог на вмененный доход</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9.2.8</w:t>
            </w:r>
          </w:p>
        </w:tc>
        <w:tc>
          <w:tcPr>
            <w:tcW w:w="4251" w:type="dxa"/>
          </w:tcPr>
          <w:p>
            <w:pPr>
              <w:pStyle w:val="0"/>
            </w:pPr>
            <w:r>
              <w:rPr>
                <w:sz w:val="20"/>
              </w:rPr>
              <w:t xml:space="preserve">налог на добычу полезных ископаемых</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9.2.9</w:t>
            </w:r>
          </w:p>
        </w:tc>
        <w:tc>
          <w:tcPr>
            <w:tcW w:w="4251" w:type="dxa"/>
          </w:tcPr>
          <w:p>
            <w:pPr>
              <w:pStyle w:val="0"/>
            </w:pPr>
            <w:r>
              <w:rPr>
                <w:sz w:val="20"/>
              </w:rPr>
              <w:t xml:space="preserve">другие налоги</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outlineLvl w:val="2"/>
            </w:pPr>
            <w:r>
              <w:rPr>
                <w:sz w:val="20"/>
              </w:rPr>
              <w:t xml:space="preserve">10</w:t>
            </w:r>
          </w:p>
        </w:tc>
        <w:tc>
          <w:tcPr>
            <w:gridSpan w:val="5"/>
            <w:tcW w:w="8162" w:type="dxa"/>
          </w:tcPr>
          <w:p>
            <w:pPr>
              <w:pStyle w:val="0"/>
              <w:jc w:val="center"/>
            </w:pPr>
            <w:r>
              <w:rPr>
                <w:sz w:val="20"/>
              </w:rPr>
              <w:t xml:space="preserve">Бюджетная эффективность проекта, млн. руб.</w:t>
            </w:r>
          </w:p>
        </w:tc>
      </w:tr>
      <w:tr>
        <w:tc>
          <w:tcPr>
            <w:tcW w:w="907" w:type="dxa"/>
          </w:tcPr>
          <w:bookmarkStart w:id="630" w:name="P630"/>
          <w:bookmarkEnd w:id="630"/>
          <w:p>
            <w:pPr>
              <w:pStyle w:val="0"/>
            </w:pPr>
            <w:r>
              <w:rPr>
                <w:sz w:val="20"/>
              </w:rPr>
              <w:t xml:space="preserve">10.1</w:t>
            </w:r>
          </w:p>
        </w:tc>
        <w:tc>
          <w:tcPr>
            <w:tcW w:w="4251" w:type="dxa"/>
          </w:tcPr>
          <w:p>
            <w:pPr>
              <w:pStyle w:val="0"/>
            </w:pPr>
            <w:r>
              <w:rPr>
                <w:sz w:val="20"/>
              </w:rPr>
              <w:t xml:space="preserve">Бюджетный эффект</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636" w:name="P636"/>
          <w:bookmarkEnd w:id="636"/>
          <w:p>
            <w:pPr>
              <w:pStyle w:val="0"/>
            </w:pPr>
            <w:r>
              <w:rPr>
                <w:sz w:val="20"/>
              </w:rPr>
              <w:t xml:space="preserve">10.2</w:t>
            </w:r>
          </w:p>
        </w:tc>
        <w:tc>
          <w:tcPr>
            <w:tcW w:w="4251" w:type="dxa"/>
          </w:tcPr>
          <w:p>
            <w:pPr>
              <w:pStyle w:val="0"/>
            </w:pPr>
            <w:r>
              <w:rPr>
                <w:sz w:val="20"/>
              </w:rPr>
              <w:t xml:space="preserve">Бюджетный эффект нарастающим итогом</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outlineLvl w:val="2"/>
            </w:pPr>
            <w:r>
              <w:rPr>
                <w:sz w:val="20"/>
              </w:rPr>
              <w:t xml:space="preserve">11</w:t>
            </w:r>
          </w:p>
        </w:tc>
        <w:tc>
          <w:tcPr>
            <w:gridSpan w:val="5"/>
            <w:tcW w:w="8162" w:type="dxa"/>
          </w:tcPr>
          <w:p>
            <w:pPr>
              <w:pStyle w:val="0"/>
              <w:jc w:val="center"/>
            </w:pPr>
            <w:r>
              <w:rPr>
                <w:sz w:val="20"/>
              </w:rPr>
              <w:t xml:space="preserve">Социальная эффективность</w:t>
            </w:r>
          </w:p>
        </w:tc>
      </w:tr>
      <w:tr>
        <w:tc>
          <w:tcPr>
            <w:tcW w:w="907" w:type="dxa"/>
          </w:tcPr>
          <w:p>
            <w:pPr>
              <w:pStyle w:val="0"/>
            </w:pPr>
            <w:r>
              <w:rPr>
                <w:sz w:val="20"/>
              </w:rPr>
              <w:t xml:space="preserve">11.1</w:t>
            </w:r>
          </w:p>
        </w:tc>
        <w:tc>
          <w:tcPr>
            <w:tcW w:w="4251" w:type="dxa"/>
          </w:tcPr>
          <w:p>
            <w:pPr>
              <w:pStyle w:val="0"/>
            </w:pPr>
            <w:r>
              <w:rPr>
                <w:sz w:val="20"/>
              </w:rPr>
              <w:t xml:space="preserve">Среднесписочная численность работников инвестора, чел., всего</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х</w:t>
            </w:r>
          </w:p>
        </w:tc>
      </w:tr>
      <w:tr>
        <w:tc>
          <w:tcPr>
            <w:tcW w:w="907" w:type="dxa"/>
          </w:tcPr>
          <w:p>
            <w:pPr>
              <w:pStyle w:val="0"/>
            </w:pPr>
            <w:r>
              <w:rPr>
                <w:sz w:val="20"/>
              </w:rPr>
              <w:t xml:space="preserve">11.1.1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х</w:t>
            </w:r>
          </w:p>
        </w:tc>
      </w:tr>
      <w:tr>
        <w:tc>
          <w:tcPr>
            <w:tcW w:w="907" w:type="dxa"/>
          </w:tcPr>
          <w:bookmarkStart w:id="656" w:name="P656"/>
          <w:bookmarkEnd w:id="656"/>
          <w:p>
            <w:pPr>
              <w:pStyle w:val="0"/>
            </w:pPr>
            <w:r>
              <w:rPr>
                <w:sz w:val="20"/>
              </w:rPr>
              <w:t xml:space="preserve">11.2</w:t>
            </w:r>
          </w:p>
        </w:tc>
        <w:tc>
          <w:tcPr>
            <w:tcW w:w="4251" w:type="dxa"/>
          </w:tcPr>
          <w:p>
            <w:pPr>
              <w:pStyle w:val="0"/>
            </w:pPr>
            <w:r>
              <w:rPr>
                <w:sz w:val="20"/>
              </w:rPr>
              <w:t xml:space="preserve">Создание новых рабочих мест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bookmarkStart w:id="662" w:name="P662"/>
          <w:bookmarkEnd w:id="662"/>
          <w:p>
            <w:pPr>
              <w:pStyle w:val="0"/>
            </w:pPr>
            <w:r>
              <w:rPr>
                <w:sz w:val="20"/>
              </w:rPr>
              <w:t xml:space="preserve">11.3</w:t>
            </w:r>
          </w:p>
        </w:tc>
        <w:tc>
          <w:tcPr>
            <w:tcW w:w="4251" w:type="dxa"/>
          </w:tcPr>
          <w:p>
            <w:pPr>
              <w:pStyle w:val="0"/>
            </w:pPr>
            <w:r>
              <w:rPr>
                <w:sz w:val="20"/>
              </w:rPr>
              <w:t xml:space="preserve">Среднемесячная заработная плата работников инвестора, тыс. руб.</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х</w:t>
            </w:r>
          </w:p>
        </w:tc>
      </w:tr>
      <w:tr>
        <w:tc>
          <w:tcPr>
            <w:tcW w:w="907" w:type="dxa"/>
          </w:tcPr>
          <w:p>
            <w:pPr>
              <w:pStyle w:val="0"/>
            </w:pPr>
            <w:r>
              <w:rPr>
                <w:sz w:val="20"/>
              </w:rPr>
              <w:t xml:space="preserve">11.3.1</w:t>
            </w:r>
          </w:p>
        </w:tc>
        <w:tc>
          <w:tcPr>
            <w:tcW w:w="4251" w:type="dxa"/>
          </w:tcPr>
          <w:p>
            <w:pPr>
              <w:pStyle w:val="0"/>
            </w:pPr>
            <w:r>
              <w:rPr>
                <w:sz w:val="20"/>
              </w:rPr>
              <w:t xml:space="preserve">в том числе по проекту</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t xml:space="preserve">х</w:t>
            </w:r>
          </w:p>
        </w:tc>
      </w:tr>
      <w:tr>
        <w:tc>
          <w:tcPr>
            <w:tcW w:w="907" w:type="dxa"/>
          </w:tcPr>
          <w:p>
            <w:pPr>
              <w:pStyle w:val="0"/>
              <w:outlineLvl w:val="2"/>
            </w:pPr>
            <w:r>
              <w:rPr>
                <w:sz w:val="20"/>
              </w:rPr>
              <w:t xml:space="preserve">12</w:t>
            </w:r>
          </w:p>
        </w:tc>
        <w:tc>
          <w:tcPr>
            <w:gridSpan w:val="5"/>
            <w:tcW w:w="8162" w:type="dxa"/>
          </w:tcPr>
          <w:p>
            <w:pPr>
              <w:pStyle w:val="0"/>
              <w:jc w:val="center"/>
            </w:pPr>
            <w:r>
              <w:rPr>
                <w:sz w:val="20"/>
              </w:rPr>
              <w:t xml:space="preserve">Окупаемость проекта, млн. руб.</w:t>
            </w:r>
          </w:p>
        </w:tc>
      </w:tr>
      <w:tr>
        <w:tc>
          <w:tcPr>
            <w:tcW w:w="907" w:type="dxa"/>
          </w:tcPr>
          <w:bookmarkStart w:id="676" w:name="P676"/>
          <w:bookmarkEnd w:id="676"/>
          <w:p>
            <w:pPr>
              <w:pStyle w:val="0"/>
            </w:pPr>
            <w:r>
              <w:rPr>
                <w:sz w:val="20"/>
              </w:rPr>
              <w:t xml:space="preserve">12.1</w:t>
            </w:r>
          </w:p>
        </w:tc>
        <w:tc>
          <w:tcPr>
            <w:tcW w:w="4251" w:type="dxa"/>
          </w:tcPr>
          <w:p>
            <w:pPr>
              <w:pStyle w:val="0"/>
            </w:pPr>
            <w:r>
              <w:rPr>
                <w:sz w:val="20"/>
              </w:rPr>
              <w:t xml:space="preserve">Окупаемость проекта</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907" w:type="dxa"/>
          </w:tcPr>
          <w:p>
            <w:pPr>
              <w:pStyle w:val="0"/>
            </w:pPr>
            <w:r>
              <w:rPr>
                <w:sz w:val="20"/>
              </w:rPr>
              <w:t xml:space="preserve">12.2</w:t>
            </w:r>
          </w:p>
        </w:tc>
        <w:tc>
          <w:tcPr>
            <w:tcW w:w="4251" w:type="dxa"/>
          </w:tcPr>
          <w:p>
            <w:pPr>
              <w:pStyle w:val="0"/>
            </w:pPr>
            <w:r>
              <w:rPr>
                <w:sz w:val="20"/>
              </w:rPr>
              <w:t xml:space="preserve">Окупаемость проекта нарастающим итогом</w:t>
            </w:r>
          </w:p>
        </w:tc>
        <w:tc>
          <w:tcPr>
            <w:tcW w:w="1190"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bl>
    <w:p>
      <w:pPr>
        <w:pStyle w:val="0"/>
        <w:ind w:firstLine="540"/>
        <w:jc w:val="both"/>
      </w:pPr>
      <w:r>
        <w:rPr>
          <w:sz w:val="20"/>
        </w:rPr>
      </w:r>
    </w:p>
    <w:p>
      <w:pPr>
        <w:pStyle w:val="1"/>
        <w:jc w:val="both"/>
      </w:pPr>
      <w:r>
        <w:rPr>
          <w:sz w:val="20"/>
        </w:rPr>
        <w:t xml:space="preserve">"____" ____________ 20___ г.</w:t>
      </w:r>
    </w:p>
    <w:p>
      <w:pPr>
        <w:pStyle w:val="1"/>
        <w:jc w:val="both"/>
      </w:pPr>
      <w:r>
        <w:rPr>
          <w:sz w:val="20"/>
        </w:rPr>
      </w:r>
    </w:p>
    <w:p>
      <w:pPr>
        <w:pStyle w:val="1"/>
        <w:jc w:val="both"/>
      </w:pPr>
      <w:r>
        <w:rPr>
          <w:sz w:val="20"/>
        </w:rPr>
        <w:t xml:space="preserve">_________________ / ___________________________</w:t>
      </w:r>
    </w:p>
    <w:p>
      <w:pPr>
        <w:pStyle w:val="1"/>
        <w:jc w:val="both"/>
      </w:pPr>
      <w:r>
        <w:rPr>
          <w:sz w:val="20"/>
        </w:rPr>
        <w:t xml:space="preserve"> подпись уполномоченного лица (с расшифровкой)</w:t>
      </w:r>
    </w:p>
    <w:p>
      <w:pPr>
        <w:pStyle w:val="1"/>
        <w:jc w:val="both"/>
      </w:pPr>
      <w:r>
        <w:rPr>
          <w:sz w:val="20"/>
        </w:rPr>
      </w:r>
    </w:p>
    <w:p>
      <w:pPr>
        <w:pStyle w:val="1"/>
        <w:jc w:val="both"/>
      </w:pPr>
      <w:r>
        <w:rPr>
          <w:sz w:val="20"/>
        </w:rPr>
        <w:t xml:space="preserve">            М.П.</w:t>
      </w:r>
    </w:p>
    <w:p>
      <w:pPr>
        <w:pStyle w:val="1"/>
        <w:jc w:val="both"/>
      </w:pPr>
      <w:r>
        <w:rPr>
          <w:sz w:val="20"/>
        </w:rPr>
        <w:t xml:space="preserve">    (при наличии печати)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организации и проведения конкурса</w:t>
      </w:r>
    </w:p>
    <w:p>
      <w:pPr>
        <w:pStyle w:val="0"/>
        <w:jc w:val="right"/>
      </w:pPr>
      <w:r>
        <w:rPr>
          <w:sz w:val="20"/>
        </w:rPr>
        <w:t xml:space="preserve">инвестиционных проектов на территории</w:t>
      </w:r>
    </w:p>
    <w:p>
      <w:pPr>
        <w:pStyle w:val="0"/>
        <w:jc w:val="right"/>
      </w:pPr>
      <w:r>
        <w:rPr>
          <w:sz w:val="20"/>
        </w:rPr>
        <w:t xml:space="preserve">Новосибирской области</w:t>
      </w:r>
    </w:p>
    <w:p>
      <w:pPr>
        <w:pStyle w:val="0"/>
        <w:ind w:firstLine="540"/>
        <w:jc w:val="both"/>
      </w:pPr>
      <w:r>
        <w:rPr>
          <w:sz w:val="20"/>
        </w:rPr>
      </w:r>
    </w:p>
    <w:bookmarkStart w:id="707" w:name="P707"/>
    <w:bookmarkEnd w:id="707"/>
    <w:p>
      <w:pPr>
        <w:pStyle w:val="2"/>
        <w:jc w:val="center"/>
      </w:pPr>
      <w:r>
        <w:rPr>
          <w:sz w:val="20"/>
        </w:rPr>
        <w:t xml:space="preserve">Методические рекомендации</w:t>
      </w:r>
    </w:p>
    <w:p>
      <w:pPr>
        <w:pStyle w:val="2"/>
        <w:jc w:val="center"/>
      </w:pPr>
      <w:r>
        <w:rPr>
          <w:sz w:val="20"/>
        </w:rPr>
        <w:t xml:space="preserve">по заполнению формы "Плановые</w:t>
      </w:r>
    </w:p>
    <w:p>
      <w:pPr>
        <w:pStyle w:val="2"/>
        <w:jc w:val="center"/>
      </w:pPr>
      <w:r>
        <w:rPr>
          <w:sz w:val="20"/>
        </w:rPr>
        <w:t xml:space="preserve">финансово-экономические показатели проекта"</w:t>
      </w:r>
    </w:p>
    <w:p>
      <w:pPr>
        <w:pStyle w:val="0"/>
        <w:ind w:firstLine="540"/>
        <w:jc w:val="both"/>
      </w:pPr>
      <w:r>
        <w:rPr>
          <w:sz w:val="20"/>
        </w:rPr>
      </w:r>
    </w:p>
    <w:p>
      <w:pPr>
        <w:pStyle w:val="0"/>
        <w:ind w:firstLine="540"/>
        <w:jc w:val="both"/>
      </w:pPr>
      <w:r>
        <w:rPr>
          <w:sz w:val="20"/>
        </w:rPr>
        <w:t xml:space="preserve">1. Инвестиционные затраты </w:t>
      </w:r>
      <w:hyperlink w:history="0" w:anchor="P268" w:tooltip="1">
        <w:r>
          <w:rPr>
            <w:sz w:val="20"/>
            <w:color w:val="0000ff"/>
          </w:rPr>
          <w:t xml:space="preserve">(раздел 1)</w:t>
        </w:r>
      </w:hyperlink>
      <w:r>
        <w:rPr>
          <w:sz w:val="20"/>
        </w:rPr>
        <w:t xml:space="preserve">, доходы и расходы (</w:t>
      </w:r>
      <w:hyperlink w:history="0" w:anchor="P324" w:tooltip="2">
        <w:r>
          <w:rPr>
            <w:sz w:val="20"/>
            <w:color w:val="0000ff"/>
          </w:rPr>
          <w:t xml:space="preserve">разделы 2</w:t>
        </w:r>
      </w:hyperlink>
      <w:r>
        <w:rPr>
          <w:sz w:val="20"/>
        </w:rPr>
        <w:t xml:space="preserve"> - </w:t>
      </w:r>
      <w:hyperlink w:history="0" w:anchor="P402" w:tooltip="5">
        <w:r>
          <w:rPr>
            <w:sz w:val="20"/>
            <w:color w:val="0000ff"/>
          </w:rPr>
          <w:t xml:space="preserve">5</w:t>
        </w:r>
      </w:hyperlink>
      <w:r>
        <w:rPr>
          <w:sz w:val="20"/>
        </w:rPr>
        <w:t xml:space="preserve">), финансовые результаты </w:t>
      </w:r>
      <w:hyperlink w:history="0" w:anchor="P428" w:tooltip="6">
        <w:r>
          <w:rPr>
            <w:sz w:val="20"/>
            <w:color w:val="0000ff"/>
          </w:rPr>
          <w:t xml:space="preserve">(раздел 6)</w:t>
        </w:r>
      </w:hyperlink>
      <w:r>
        <w:rPr>
          <w:sz w:val="20"/>
        </w:rPr>
        <w:t xml:space="preserve">, основные средства </w:t>
      </w:r>
      <w:hyperlink w:history="0" w:anchor="P466" w:tooltip="7">
        <w:r>
          <w:rPr>
            <w:sz w:val="20"/>
            <w:color w:val="0000ff"/>
          </w:rPr>
          <w:t xml:space="preserve">(раздел 7)</w:t>
        </w:r>
      </w:hyperlink>
      <w:r>
        <w:rPr>
          <w:sz w:val="20"/>
        </w:rPr>
        <w:t xml:space="preserve"> отражаются по данным бухгалтерского учета.</w:t>
      </w:r>
    </w:p>
    <w:p>
      <w:pPr>
        <w:pStyle w:val="0"/>
        <w:spacing w:before="200" w:line-rule="auto"/>
        <w:ind w:firstLine="540"/>
        <w:jc w:val="both"/>
      </w:pPr>
      <w:r>
        <w:rPr>
          <w:sz w:val="20"/>
        </w:rPr>
        <w:t xml:space="preserve">2. Числовые значения в форме заполняются с округлением до одной десятой.</w:t>
      </w:r>
    </w:p>
    <w:p>
      <w:pPr>
        <w:pStyle w:val="0"/>
        <w:spacing w:before="200" w:line-rule="auto"/>
        <w:ind w:firstLine="540"/>
        <w:jc w:val="both"/>
      </w:pPr>
      <w:r>
        <w:rPr>
          <w:sz w:val="20"/>
        </w:rPr>
        <w:t xml:space="preserve">3. В столбец "с начала реализации проекта" вносятся фактические данные с начала реализации инвестиционного проекта до окончания предыдущего года. В случае если реализация инвестиционного проекта на дату представления формы не начата либо начата в текущем году, столбец оставляется пустым.</w:t>
      </w:r>
    </w:p>
    <w:p>
      <w:pPr>
        <w:pStyle w:val="0"/>
        <w:spacing w:before="200" w:line-rule="auto"/>
        <w:ind w:firstLine="540"/>
        <w:jc w:val="both"/>
      </w:pPr>
      <w:r>
        <w:rPr>
          <w:sz w:val="20"/>
        </w:rPr>
        <w:t xml:space="preserve">4. В столбцы "год" вносятся годовые данные, начиная с года, в течение которого подается заявление инвестора. Количество столбцов должно соответствовать количеству лет в планируемом периоде.</w:t>
      </w:r>
    </w:p>
    <w:p>
      <w:pPr>
        <w:pStyle w:val="0"/>
        <w:spacing w:before="200" w:line-rule="auto"/>
        <w:ind w:firstLine="540"/>
        <w:jc w:val="both"/>
      </w:pPr>
      <w:r>
        <w:rPr>
          <w:sz w:val="20"/>
        </w:rPr>
        <w:t xml:space="preserve">5. В </w:t>
      </w:r>
      <w:hyperlink w:history="0" w:anchor="P494" w:tooltip="8.1">
        <w:r>
          <w:rPr>
            <w:sz w:val="20"/>
            <w:color w:val="0000ff"/>
          </w:rPr>
          <w:t xml:space="preserve">пунктах 8.1</w:t>
        </w:r>
      </w:hyperlink>
      <w:r>
        <w:rPr>
          <w:sz w:val="20"/>
        </w:rPr>
        <w:t xml:space="preserve">, </w:t>
      </w:r>
      <w:hyperlink w:history="0" w:anchor="P548" w:tooltip="8.3">
        <w:r>
          <w:rPr>
            <w:sz w:val="20"/>
            <w:color w:val="0000ff"/>
          </w:rPr>
          <w:t xml:space="preserve">8.3</w:t>
        </w:r>
      </w:hyperlink>
      <w:r>
        <w:rPr>
          <w:sz w:val="20"/>
        </w:rP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проектов.</w:t>
      </w:r>
    </w:p>
    <w:p>
      <w:pPr>
        <w:pStyle w:val="0"/>
        <w:spacing w:before="200" w:line-rule="auto"/>
        <w:ind w:firstLine="540"/>
        <w:jc w:val="both"/>
      </w:pPr>
      <w:r>
        <w:rPr>
          <w:sz w:val="20"/>
        </w:rPr>
        <w:t xml:space="preserve">6. В </w:t>
      </w:r>
      <w:hyperlink w:history="0" w:anchor="P500" w:tooltip="8.2">
        <w:r>
          <w:rPr>
            <w:sz w:val="20"/>
            <w:color w:val="0000ff"/>
          </w:rPr>
          <w:t xml:space="preserve">пункте 8.2</w:t>
        </w:r>
      </w:hyperlink>
      <w:r>
        <w:rPr>
          <w:sz w:val="20"/>
        </w:rPr>
        <w:t xml:space="preserve"> указывается планируемая к получению государственная поддержка инвестиционной деятельности в разрезе указанных мер. Суммы и сроки оказания государственной поддержки должны соответствовать сведениям, указанным в заявлении инвестора.</w:t>
      </w:r>
    </w:p>
    <w:p>
      <w:pPr>
        <w:pStyle w:val="0"/>
        <w:spacing w:before="200" w:line-rule="auto"/>
        <w:ind w:firstLine="540"/>
        <w:jc w:val="both"/>
      </w:pPr>
      <w:r>
        <w:rPr>
          <w:sz w:val="20"/>
        </w:rPr>
        <w:t xml:space="preserve">7. В </w:t>
      </w:r>
      <w:hyperlink w:history="0" w:anchor="P560" w:tooltip="9">
        <w:r>
          <w:rPr>
            <w:sz w:val="20"/>
            <w:color w:val="0000ff"/>
          </w:rPr>
          <w:t xml:space="preserve">разделе 9</w:t>
        </w:r>
      </w:hyperlink>
      <w:r>
        <w:rPr>
          <w:sz w:val="20"/>
        </w:rPr>
        <w:t xml:space="preserve"> налоговые начисления указываются в соответствии с определением налогового периода.</w:t>
      </w:r>
    </w:p>
    <w:p>
      <w:pPr>
        <w:pStyle w:val="0"/>
        <w:spacing w:before="200" w:line-rule="auto"/>
        <w:ind w:firstLine="540"/>
        <w:jc w:val="both"/>
      </w:pPr>
      <w:r>
        <w:rPr>
          <w:sz w:val="20"/>
        </w:rPr>
        <w:t xml:space="preserve">8. Бюджетный эффект </w:t>
      </w:r>
      <w:hyperlink w:history="0" w:anchor="P630" w:tooltip="10.1">
        <w:r>
          <w:rPr>
            <w:sz w:val="20"/>
            <w:color w:val="0000ff"/>
          </w:rPr>
          <w:t xml:space="preserve">(пункт 10.1)</w:t>
        </w:r>
      </w:hyperlink>
      <w:r>
        <w:rPr>
          <w:sz w:val="20"/>
        </w:rPr>
        <w:t xml:space="preserve"> рассчитывается как разница между начисленными (уплаченными) в консолидированный бюджет Новосибирской области налогами </w:t>
      </w:r>
      <w:hyperlink w:history="0" w:anchor="P568" w:tooltip="9.2">
        <w:r>
          <w:rPr>
            <w:sz w:val="20"/>
            <w:color w:val="0000ff"/>
          </w:rPr>
          <w:t xml:space="preserve">(пункт 9.2)</w:t>
        </w:r>
      </w:hyperlink>
      <w:r>
        <w:rPr>
          <w:sz w:val="20"/>
        </w:rPr>
        <w:t xml:space="preserve"> и планируемой (предоставленной) из бюджета Новосибирской области государственной поддержкой (</w:t>
      </w:r>
      <w:hyperlink w:history="0" w:anchor="P500" w:tooltip="8.2">
        <w:r>
          <w:rPr>
            <w:sz w:val="20"/>
            <w:color w:val="0000ff"/>
          </w:rPr>
          <w:t xml:space="preserve">пункты 8.2</w:t>
        </w:r>
      </w:hyperlink>
      <w:r>
        <w:rPr>
          <w:sz w:val="20"/>
        </w:rPr>
        <w:t xml:space="preserve">, </w:t>
      </w:r>
      <w:hyperlink w:history="0" w:anchor="P548" w:tooltip="8.3">
        <w:r>
          <w:rPr>
            <w:sz w:val="20"/>
            <w:color w:val="0000ff"/>
          </w:rPr>
          <w:t xml:space="preserve">8.3</w:t>
        </w:r>
      </w:hyperlink>
      <w:r>
        <w:rPr>
          <w:sz w:val="20"/>
        </w:rPr>
        <w:t xml:space="preserve">).</w:t>
      </w:r>
    </w:p>
    <w:p>
      <w:pPr>
        <w:pStyle w:val="0"/>
        <w:spacing w:before="200" w:line-rule="auto"/>
        <w:ind w:firstLine="540"/>
        <w:jc w:val="both"/>
      </w:pPr>
      <w:r>
        <w:rPr>
          <w:sz w:val="20"/>
        </w:rPr>
        <w:t xml:space="preserve">9. Показатели бюджетного эффекта нарастающим итогом </w:t>
      </w:r>
      <w:hyperlink w:history="0" w:anchor="P636" w:tooltip="10.2">
        <w:r>
          <w:rPr>
            <w:sz w:val="20"/>
            <w:color w:val="0000ff"/>
          </w:rPr>
          <w:t xml:space="preserve">(пункт 10.2)</w:t>
        </w:r>
      </w:hyperlink>
      <w:r>
        <w:rPr>
          <w:sz w:val="20"/>
        </w:rPr>
        <w:t xml:space="preserve"> должны соответствовать требованиям бюджетной эффективности, предъявляемым к инвестиционным проектам для предоставления государственной поддержки.</w:t>
      </w:r>
    </w:p>
    <w:p>
      <w:pPr>
        <w:pStyle w:val="0"/>
        <w:spacing w:before="200" w:line-rule="auto"/>
        <w:ind w:firstLine="540"/>
        <w:jc w:val="both"/>
      </w:pPr>
      <w:r>
        <w:rPr>
          <w:sz w:val="20"/>
        </w:rPr>
        <w:t xml:space="preserve">10. В </w:t>
      </w:r>
      <w:hyperlink w:history="0" w:anchor="P656" w:tooltip="11.2">
        <w:r>
          <w:rPr>
            <w:sz w:val="20"/>
            <w:color w:val="0000ff"/>
          </w:rPr>
          <w:t xml:space="preserve">пункте 11.2</w:t>
        </w:r>
      </w:hyperlink>
      <w:r>
        <w:rPr>
          <w:sz w:val="20"/>
        </w:rPr>
        <w:t xml:space="preserve"> указывается создание новых рабочих мест по инвестиционному проекту в течение планового периода.</w:t>
      </w:r>
    </w:p>
    <w:p>
      <w:pPr>
        <w:pStyle w:val="0"/>
        <w:spacing w:before="200" w:line-rule="auto"/>
        <w:ind w:firstLine="540"/>
        <w:jc w:val="both"/>
      </w:pPr>
      <w:r>
        <w:rPr>
          <w:sz w:val="20"/>
        </w:rPr>
        <w:t xml:space="preserve">11. В </w:t>
      </w:r>
      <w:hyperlink w:history="0" w:anchor="P662" w:tooltip="11.3">
        <w:r>
          <w:rPr>
            <w:sz w:val="20"/>
            <w:color w:val="0000ff"/>
          </w:rPr>
          <w:t xml:space="preserve">пункте 11.3</w:t>
        </w:r>
      </w:hyperlink>
      <w:r>
        <w:rPr>
          <w:sz w:val="20"/>
        </w:rPr>
        <w:t xml:space="preserve"> указывается среднемесячная заработная плата работников инвестора, включая налог на доходы физических лиц.</w:t>
      </w:r>
    </w:p>
    <w:p>
      <w:pPr>
        <w:pStyle w:val="0"/>
        <w:spacing w:before="200" w:line-rule="auto"/>
        <w:ind w:firstLine="540"/>
        <w:jc w:val="both"/>
      </w:pPr>
      <w:r>
        <w:rPr>
          <w:sz w:val="20"/>
        </w:rPr>
        <w:t xml:space="preserve">12. Окупаемость проекта </w:t>
      </w:r>
      <w:hyperlink w:history="0" w:anchor="P676" w:tooltip="12.1">
        <w:r>
          <w:rPr>
            <w:sz w:val="20"/>
            <w:color w:val="0000ff"/>
          </w:rPr>
          <w:t xml:space="preserve">(пункт 12.1)</w:t>
        </w:r>
      </w:hyperlink>
      <w:r>
        <w:rPr>
          <w:sz w:val="20"/>
        </w:rPr>
        <w:t xml:space="preserve"> рассчитывается в соответствии со </w:t>
      </w:r>
      <w:hyperlink w:history="0" r:id="rId138"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статьей 1</w:t>
        </w:r>
      </w:hyperlink>
      <w:r>
        <w:rPr>
          <w:sz w:val="20"/>
        </w:rP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history="0" w:anchor="P460" w:tooltip="6.3.1">
        <w:r>
          <w:rPr>
            <w:sz w:val="20"/>
            <w:color w:val="0000ff"/>
          </w:rPr>
          <w:t xml:space="preserve">(пункт 6.3.1)</w:t>
        </w:r>
      </w:hyperlink>
      <w:r>
        <w:rPr>
          <w:sz w:val="20"/>
        </w:rPr>
        <w:t xml:space="preserve"> и амортизации основных средств, используемых в проекте </w:t>
      </w:r>
      <w:hyperlink w:history="0" w:anchor="P486" w:tooltip="7.2.1">
        <w:r>
          <w:rPr>
            <w:sz w:val="20"/>
            <w:color w:val="0000ff"/>
          </w:rPr>
          <w:t xml:space="preserve">(пункт 7.2.1)</w:t>
        </w:r>
      </w:hyperlink>
      <w:r>
        <w:rPr>
          <w:sz w:val="20"/>
        </w:rPr>
        <w:t xml:space="preserve">, и инвестиционными затратами в форме капитальных вложений без учета налога на добавленную стоимость </w:t>
      </w:r>
      <w:hyperlink w:history="0" w:anchor="P282" w:tooltip="1.2.1">
        <w:r>
          <w:rPr>
            <w:sz w:val="20"/>
            <w:color w:val="0000ff"/>
          </w:rPr>
          <w:t xml:space="preserve">(пункт 1.2.1)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733" w:name="P733"/>
    <w:bookmarkEnd w:id="733"/>
    <w:p>
      <w:pPr>
        <w:pStyle w:val="2"/>
        <w:jc w:val="center"/>
      </w:pPr>
      <w:r>
        <w:rPr>
          <w:sz w:val="20"/>
        </w:rPr>
        <w:t xml:space="preserve">ПОРЯДОК</w:t>
      </w:r>
    </w:p>
    <w:p>
      <w:pPr>
        <w:pStyle w:val="2"/>
        <w:jc w:val="center"/>
      </w:pPr>
      <w:r>
        <w:rPr>
          <w:sz w:val="20"/>
        </w:rPr>
        <w:t xml:space="preserve">ПРИНЯТИЯ РЕШЕНИЙ О ВОЗОБНОВЛЕНИИ, ПРИОСТАНОВЛЕНИИ, ИЗМЕНЕНИИ</w:t>
      </w:r>
    </w:p>
    <w:p>
      <w:pPr>
        <w:pStyle w:val="2"/>
        <w:jc w:val="center"/>
      </w:pPr>
      <w:r>
        <w:rPr>
          <w:sz w:val="20"/>
        </w:rPr>
        <w:t xml:space="preserve">СРОКОВ ПРЕДОСТАВЛЕНИЯ И ОБЪЕМОВ ГОСУДАРСТВЕННОЙ</w:t>
      </w:r>
    </w:p>
    <w:p>
      <w:pPr>
        <w:pStyle w:val="2"/>
        <w:jc w:val="center"/>
      </w:pPr>
      <w:r>
        <w:rPr>
          <w:sz w:val="20"/>
        </w:rPr>
        <w:t xml:space="preserve">ПОДДЕРЖКИ И ПРЕКРАЩЕНИИ ГОСУДАРСТВЕННОЙ</w:t>
      </w:r>
    </w:p>
    <w:p>
      <w:pPr>
        <w:pStyle w:val="2"/>
        <w:jc w:val="center"/>
      </w:pPr>
      <w:r>
        <w:rPr>
          <w:sz w:val="20"/>
        </w:rPr>
        <w:t xml:space="preserve">ПОДДЕРЖКИ ИНВЕСТИЦИОННОЙ ДЕЯТЕЛЬНОСТИ</w:t>
      </w:r>
    </w:p>
    <w:p>
      <w:pPr>
        <w:pStyle w:val="0"/>
        <w:ind w:firstLine="540"/>
        <w:jc w:val="both"/>
      </w:pPr>
      <w:r>
        <w:rPr>
          <w:sz w:val="20"/>
        </w:rPr>
      </w:r>
    </w:p>
    <w:p>
      <w:pPr>
        <w:pStyle w:val="0"/>
        <w:ind w:firstLine="540"/>
        <w:jc w:val="both"/>
      </w:pPr>
      <w:r>
        <w:rPr>
          <w:sz w:val="20"/>
        </w:rPr>
        <w:t xml:space="preserve">Утратил силу. - </w:t>
      </w:r>
      <w:hyperlink w:history="0" r:id="rId139"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21.08.2019 N 340-п.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750" w:name="P750"/>
    <w:bookmarkEnd w:id="750"/>
    <w:p>
      <w:pPr>
        <w:pStyle w:val="2"/>
        <w:jc w:val="center"/>
      </w:pPr>
      <w:r>
        <w:rPr>
          <w:sz w:val="20"/>
        </w:rPr>
        <w:t xml:space="preserve">ПОЛОЖЕНИЕ</w:t>
      </w:r>
    </w:p>
    <w:p>
      <w:pPr>
        <w:pStyle w:val="2"/>
        <w:jc w:val="center"/>
      </w:pPr>
      <w:r>
        <w:rPr>
          <w:sz w:val="20"/>
        </w:rPr>
        <w:t xml:space="preserve">О КОМИССИИ ПО ПРОВЕДЕНИЮ КОНКУРСА ИНВЕСТИЦИОННЫХ</w:t>
      </w:r>
    </w:p>
    <w:p>
      <w:pPr>
        <w:pStyle w:val="2"/>
        <w:jc w:val="center"/>
      </w:pPr>
      <w:r>
        <w:rPr>
          <w:sz w:val="20"/>
        </w:rPr>
        <w:t xml:space="preserve">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21.08.2019 </w:t>
            </w:r>
            <w:hyperlink w:history="0" r:id="rId140"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18.05.2020 </w:t>
            </w:r>
            <w:hyperlink w:history="0" r:id="rId141"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color w:val="392c69"/>
              </w:rPr>
              <w:t xml:space="preserve">, от 22.06.2021 </w:t>
            </w:r>
            <w:hyperlink w:history="0" r:id="rId142"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28.03.2023 </w:t>
            </w:r>
            <w:hyperlink w:history="0" r:id="rId143"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 от 28.11.2023 </w:t>
            </w:r>
            <w:hyperlink w:history="0" r:id="rId144"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N 544-п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58" w:name="P758"/>
    <w:bookmarkEnd w:id="758"/>
    <w:p>
      <w:pPr>
        <w:pStyle w:val="0"/>
        <w:ind w:firstLine="540"/>
        <w:jc w:val="both"/>
      </w:pPr>
      <w:r>
        <w:rPr>
          <w:sz w:val="20"/>
        </w:rPr>
        <w:t xml:space="preserve">1. Комиссия по проведению конкурса инвестиционных проектов на территории Новосибирской области (далее - комиссия) создается в целях:</w:t>
      </w:r>
    </w:p>
    <w:p>
      <w:pPr>
        <w:pStyle w:val="0"/>
        <w:spacing w:before="200" w:line-rule="auto"/>
        <w:ind w:firstLine="540"/>
        <w:jc w:val="both"/>
      </w:pPr>
      <w:r>
        <w:rPr>
          <w:sz w:val="20"/>
        </w:rPr>
        <w:t xml:space="preserve">1) отбора инвестиционных проектов на предоставление государственной поддержки инвестиционной деятельности, а также принятия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в соответствии с </w:t>
      </w:r>
      <w:hyperlink w:history="0" w:anchor="P55" w:tooltip="ПОРЯДОК">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w:t>
      </w:r>
    </w:p>
    <w:p>
      <w:pPr>
        <w:pStyle w:val="0"/>
        <w:jc w:val="both"/>
      </w:pPr>
      <w:r>
        <w:rPr>
          <w:sz w:val="20"/>
        </w:rPr>
        <w:t xml:space="preserve">(в ред. </w:t>
      </w:r>
      <w:hyperlink w:history="0" r:id="rId145"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 утратил силу. - </w:t>
      </w:r>
      <w:hyperlink w:history="0" r:id="rId14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 утратил силу. - </w:t>
      </w:r>
      <w:hyperlink w:history="0" r:id="rId147"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Постановление</w:t>
        </w:r>
      </w:hyperlink>
      <w:r>
        <w:rPr>
          <w:sz w:val="20"/>
        </w:rPr>
        <w:t xml:space="preserve"> Правительства Новосибирской области от 18.05.2020 N 172-п.</w:t>
      </w:r>
    </w:p>
    <w:p>
      <w:pPr>
        <w:pStyle w:val="0"/>
        <w:spacing w:before="200" w:line-rule="auto"/>
        <w:ind w:firstLine="540"/>
        <w:jc w:val="both"/>
      </w:pPr>
      <w:r>
        <w:rPr>
          <w:sz w:val="20"/>
        </w:rPr>
        <w:t xml:space="preserve">2.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принимаются комиссией в соответствии со </w:t>
      </w:r>
      <w:hyperlink w:history="0" r:id="rId14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статьями 8</w:t>
        </w:r>
      </w:hyperlink>
      <w:r>
        <w:rPr>
          <w:sz w:val="20"/>
        </w:rPr>
        <w:t xml:space="preserve">, </w:t>
      </w:r>
      <w:hyperlink w:history="0" r:id="rId14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(за исключением государственной поддержки в виде государственных гарантий Новосибирской области, отзыв которых производится в соответствии с </w:t>
      </w:r>
      <w:hyperlink w:history="0" r:id="rId150" w:tooltip="Закон Новосибирской области от 06.05.2008 N 226-ОЗ (ред. от 05.12.2024) &quot;О порядке предоставления государственных гарантий Новосибирской области&quot; (принят постановлением Новосибирского областного Совета депутатов от 24.04.2008 N 226-ОСД) {КонсультантПлюс}">
        <w:r>
          <w:rPr>
            <w:sz w:val="20"/>
            <w:color w:val="0000ff"/>
          </w:rPr>
          <w:t xml:space="preserve">Законом</w:t>
        </w:r>
      </w:hyperlink>
      <w:r>
        <w:rPr>
          <w:sz w:val="20"/>
        </w:rPr>
        <w:t xml:space="preserve"> Новосибирской области от 06.05.2008 N 226-ОЗ "О порядке предоставления государственных гарантий Новосибирской области").</w:t>
      </w:r>
    </w:p>
    <w:p>
      <w:pPr>
        <w:pStyle w:val="0"/>
        <w:jc w:val="both"/>
      </w:pPr>
      <w:r>
        <w:rPr>
          <w:sz w:val="20"/>
        </w:rPr>
        <w:t xml:space="preserve">(в ред. </w:t>
      </w:r>
      <w:hyperlink w:history="0" r:id="rId15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 Заседание комиссии проводится под руководством председателя комиссии, а в его отсутствие - заместителя председателя комиссии. Заседание комиссии считается правомочным, если на нем присутствует не менее половины членов комиссии, имеющих право голоса.</w:t>
      </w:r>
    </w:p>
    <w:p>
      <w:pPr>
        <w:pStyle w:val="0"/>
        <w:spacing w:before="200" w:line-rule="auto"/>
        <w:ind w:firstLine="540"/>
        <w:jc w:val="both"/>
      </w:pPr>
      <w:r>
        <w:rPr>
          <w:sz w:val="20"/>
        </w:rPr>
        <w:t xml:space="preserve">В случае отсутствия в день заседания комиссии кворума, голосование по определенным в повестке проектам проводится заочно, путем направления министерством членам комиссии в срок не позднее следующего рабочего дня опросных листов для их заполнения. В течение 10 рабочих дней министерство обрабатывает заполненные членами комиссии опросные листы и оформляет протокол с указанием сведений о проведении по определенным в повестке вопросам заочного голосования.</w:t>
      </w:r>
    </w:p>
    <w:p>
      <w:pPr>
        <w:pStyle w:val="0"/>
        <w:spacing w:before="200" w:line-rule="auto"/>
        <w:ind w:firstLine="540"/>
        <w:jc w:val="both"/>
      </w:pPr>
      <w:r>
        <w:rPr>
          <w:sz w:val="20"/>
        </w:rPr>
        <w:t xml:space="preserve">4. В состав комиссии входят депутаты Законодательного Собрания Новосибирской области в количестве не менее одной четвертой от ее состава.</w:t>
      </w:r>
    </w:p>
    <w:p>
      <w:pPr>
        <w:pStyle w:val="0"/>
        <w:spacing w:before="200" w:line-rule="auto"/>
        <w:ind w:firstLine="540"/>
        <w:jc w:val="both"/>
      </w:pPr>
      <w:r>
        <w:rPr>
          <w:sz w:val="20"/>
        </w:rPr>
        <w:t xml:space="preserve">5. На заседании комиссии вправе присутствовать члены Правительства Новосибирской области, представители областных исполнительных органов Новосибирской области, к сфере деятельности которых относятся представленные на конкурс инвестиционные проекты, представители инвесторов, а также представители администраций муниципальных районов (городских округов) Новосибирской области, на территории которых реализуется инвестиционный проект.</w:t>
      </w:r>
    </w:p>
    <w:p>
      <w:pPr>
        <w:pStyle w:val="0"/>
        <w:jc w:val="both"/>
      </w:pPr>
      <w:r>
        <w:rPr>
          <w:sz w:val="20"/>
        </w:rPr>
        <w:t xml:space="preserve">(в ред. </w:t>
      </w:r>
      <w:hyperlink w:history="0" r:id="rId152"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6. Документы к заседанию комиссии готовит секретарь комиссии.</w:t>
      </w:r>
    </w:p>
    <w:p>
      <w:pPr>
        <w:pStyle w:val="0"/>
        <w:spacing w:before="200" w:line-rule="auto"/>
        <w:ind w:firstLine="540"/>
        <w:jc w:val="both"/>
      </w:pPr>
      <w:r>
        <w:rPr>
          <w:sz w:val="20"/>
        </w:rPr>
        <w:t xml:space="preserve">7. Комиссия самостоятельно определяет регламент своей работы с учетом требований Порядка организации и проведения конкурса инвестиционных проектов на территории Новосибирской области.</w:t>
      </w:r>
    </w:p>
    <w:p>
      <w:pPr>
        <w:pStyle w:val="0"/>
        <w:jc w:val="both"/>
      </w:pPr>
      <w:r>
        <w:rPr>
          <w:sz w:val="20"/>
        </w:rPr>
        <w:t xml:space="preserve">(в ред. </w:t>
      </w:r>
      <w:hyperlink w:history="0" r:id="rId153"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bookmarkStart w:id="773" w:name="P773"/>
    <w:bookmarkEnd w:id="773"/>
    <w:p>
      <w:pPr>
        <w:pStyle w:val="0"/>
        <w:spacing w:before="200" w:line-rule="auto"/>
        <w:ind w:firstLine="540"/>
        <w:jc w:val="both"/>
      </w:pPr>
      <w:r>
        <w:rPr>
          <w:sz w:val="20"/>
        </w:rPr>
        <w:t xml:space="preserve">8. Комиссия определяет победителей конкурса и меры государственной поддержки инвестиционной деятельности в соответствии с Порядком организации и проведения конкурса инвестиционных проектов на территории Новосибирской области, утвержденным настоящим постановлением, с учетом требований, установленных </w:t>
      </w:r>
      <w:hyperlink w:history="0" r:id="rId15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статьей 7</w:t>
        </w:r>
      </w:hyperlink>
      <w:r>
        <w:rPr>
          <w:sz w:val="20"/>
        </w:rPr>
        <w:t xml:space="preserve"> Закона, на основе следующих качественных и количественных показателей оценки:</w:t>
      </w:r>
    </w:p>
    <w:p>
      <w:pPr>
        <w:pStyle w:val="0"/>
        <w:spacing w:before="200" w:line-rule="auto"/>
        <w:ind w:firstLine="540"/>
        <w:jc w:val="both"/>
      </w:pPr>
      <w:r>
        <w:rPr>
          <w:sz w:val="20"/>
        </w:rPr>
        <w:t xml:space="preserve">1) количественные показатели оценки:</w:t>
      </w:r>
    </w:p>
    <w:p>
      <w:pPr>
        <w:pStyle w:val="0"/>
        <w:spacing w:before="200" w:line-rule="auto"/>
        <w:ind w:firstLine="540"/>
        <w:jc w:val="both"/>
      </w:pPr>
      <w:r>
        <w:rPr>
          <w:sz w:val="20"/>
        </w:rPr>
        <w:t xml:space="preserve">объем инвестиционных затрат, предусмотренных бизнес-планом инвестиционного проекта, без налога на добавленную стоимость;</w:t>
      </w:r>
    </w:p>
    <w:p>
      <w:pPr>
        <w:pStyle w:val="0"/>
        <w:spacing w:before="200" w:line-rule="auto"/>
        <w:ind w:firstLine="540"/>
        <w:jc w:val="both"/>
      </w:pPr>
      <w:r>
        <w:rPr>
          <w:sz w:val="20"/>
        </w:rPr>
        <w:t xml:space="preserve">срок окупаемости инвестиционного проекта;</w:t>
      </w:r>
    </w:p>
    <w:p>
      <w:pPr>
        <w:pStyle w:val="0"/>
        <w:spacing w:before="200" w:line-rule="auto"/>
        <w:ind w:firstLine="540"/>
        <w:jc w:val="both"/>
      </w:pPr>
      <w:r>
        <w:rPr>
          <w:sz w:val="20"/>
        </w:rPr>
        <w:t xml:space="preserve">количество создаваемых новых рабочих мест по инвестиционному проекту;</w:t>
      </w:r>
    </w:p>
    <w:p>
      <w:pPr>
        <w:pStyle w:val="0"/>
        <w:spacing w:before="200" w:line-rule="auto"/>
        <w:ind w:firstLine="540"/>
        <w:jc w:val="both"/>
      </w:pPr>
      <w:r>
        <w:rPr>
          <w:sz w:val="20"/>
        </w:rPr>
        <w:t xml:space="preserve">уровень среднемесячной заработной платы в расчете на одного работника инвестора по инвестиционному проекту;</w:t>
      </w:r>
    </w:p>
    <w:p>
      <w:pPr>
        <w:pStyle w:val="0"/>
        <w:spacing w:before="200" w:line-rule="auto"/>
        <w:ind w:firstLine="540"/>
        <w:jc w:val="both"/>
      </w:pPr>
      <w:r>
        <w:rPr>
          <w:sz w:val="20"/>
        </w:rPr>
        <w:t xml:space="preserve">показатель бюджетной эффективности по инвестиционному проекту, определяемый согласно </w:t>
      </w:r>
      <w:hyperlink w:history="0" r:id="rId155"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постановлению</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pPr>
        <w:pStyle w:val="0"/>
        <w:spacing w:before="200" w:line-rule="auto"/>
        <w:ind w:firstLine="540"/>
        <w:jc w:val="both"/>
      </w:pPr>
      <w:r>
        <w:rPr>
          <w:sz w:val="20"/>
        </w:rPr>
        <w:t xml:space="preserve">наличие по инвестиционному проекту государственной поддержки инвестиционной деятельности;</w:t>
      </w:r>
    </w:p>
    <w:p>
      <w:pPr>
        <w:pStyle w:val="0"/>
        <w:spacing w:before="200" w:line-rule="auto"/>
        <w:ind w:firstLine="540"/>
        <w:jc w:val="both"/>
      </w:pPr>
      <w:r>
        <w:rPr>
          <w:sz w:val="20"/>
        </w:rPr>
        <w:t xml:space="preserve">2) качественные показатели оценки:</w:t>
      </w:r>
    </w:p>
    <w:p>
      <w:pPr>
        <w:pStyle w:val="0"/>
        <w:spacing w:before="200" w:line-rule="auto"/>
        <w:ind w:firstLine="540"/>
        <w:jc w:val="both"/>
      </w:pPr>
      <w:r>
        <w:rPr>
          <w:sz w:val="20"/>
        </w:rPr>
        <w:t xml:space="preserve">степень перспективности и реализуемости инвестиционного проекта.</w:t>
      </w:r>
    </w:p>
    <w:bookmarkStart w:id="783" w:name="P783"/>
    <w:bookmarkEnd w:id="783"/>
    <w:p>
      <w:pPr>
        <w:pStyle w:val="0"/>
        <w:spacing w:before="200" w:line-rule="auto"/>
        <w:ind w:firstLine="540"/>
        <w:jc w:val="both"/>
      </w:pPr>
      <w:r>
        <w:rPr>
          <w:sz w:val="20"/>
        </w:rPr>
        <w:t xml:space="preserve">9. Инвестиционные проекты оцениваются комиссией исходя из следующих значений показателей оценки:</w:t>
      </w:r>
    </w:p>
    <w:p>
      <w:pPr>
        <w:pStyle w:val="0"/>
        <w:spacing w:before="200" w:line-rule="auto"/>
        <w:ind w:firstLine="540"/>
        <w:jc w:val="both"/>
      </w:pPr>
      <w:r>
        <w:rPr>
          <w:sz w:val="20"/>
        </w:rPr>
        <w:t xml:space="preserve">1) объем инвестиционных затрат, предусмотренных бизнес-планом инвестиционного проекта, без налога на добавленную стоимость, значение которого составляет:</w:t>
      </w:r>
    </w:p>
    <w:p>
      <w:pPr>
        <w:pStyle w:val="0"/>
        <w:spacing w:before="200" w:line-rule="auto"/>
        <w:ind w:firstLine="540"/>
        <w:jc w:val="both"/>
      </w:pPr>
      <w:r>
        <w:rPr>
          <w:sz w:val="20"/>
        </w:rPr>
        <w:t xml:space="preserve">более 1000 млн. рублей - 10 баллов;</w:t>
      </w:r>
    </w:p>
    <w:p>
      <w:pPr>
        <w:pStyle w:val="0"/>
        <w:spacing w:before="200" w:line-rule="auto"/>
        <w:ind w:firstLine="540"/>
        <w:jc w:val="both"/>
      </w:pPr>
      <w:r>
        <w:rPr>
          <w:sz w:val="20"/>
        </w:rPr>
        <w:t xml:space="preserve">от 500 млн. рублей до 1000 млн. рублей - 9 баллов;</w:t>
      </w:r>
    </w:p>
    <w:p>
      <w:pPr>
        <w:pStyle w:val="0"/>
        <w:spacing w:before="200" w:line-rule="auto"/>
        <w:ind w:firstLine="540"/>
        <w:jc w:val="both"/>
      </w:pPr>
      <w:r>
        <w:rPr>
          <w:sz w:val="20"/>
        </w:rPr>
        <w:t xml:space="preserve">от 250 млн. рублей до 500 млн. рублей - 8 баллов;</w:t>
      </w:r>
    </w:p>
    <w:p>
      <w:pPr>
        <w:pStyle w:val="0"/>
        <w:spacing w:before="200" w:line-rule="auto"/>
        <w:ind w:firstLine="540"/>
        <w:jc w:val="both"/>
      </w:pPr>
      <w:r>
        <w:rPr>
          <w:sz w:val="20"/>
        </w:rPr>
        <w:t xml:space="preserve">от 50 млн. рублей до 250 млн. рублей - 7 баллов;</w:t>
      </w:r>
    </w:p>
    <w:p>
      <w:pPr>
        <w:pStyle w:val="0"/>
        <w:spacing w:before="200" w:line-rule="auto"/>
        <w:ind w:firstLine="540"/>
        <w:jc w:val="both"/>
      </w:pPr>
      <w:r>
        <w:rPr>
          <w:sz w:val="20"/>
        </w:rPr>
        <w:t xml:space="preserve">менее 50 млн. рублей - 6 баллов;</w:t>
      </w:r>
    </w:p>
    <w:p>
      <w:pPr>
        <w:pStyle w:val="0"/>
        <w:spacing w:before="200" w:line-rule="auto"/>
        <w:ind w:firstLine="540"/>
        <w:jc w:val="both"/>
      </w:pPr>
      <w:r>
        <w:rPr>
          <w:sz w:val="20"/>
        </w:rPr>
        <w:t xml:space="preserve">2) срок окупаемости инвестиционного проекта, значение которого составляет:</w:t>
      </w:r>
    </w:p>
    <w:p>
      <w:pPr>
        <w:pStyle w:val="0"/>
        <w:spacing w:before="200" w:line-rule="auto"/>
        <w:ind w:firstLine="540"/>
        <w:jc w:val="both"/>
      </w:pPr>
      <w:r>
        <w:rPr>
          <w:sz w:val="20"/>
        </w:rPr>
        <w:t xml:space="preserve">менее 3 лет - 10 баллов;</w:t>
      </w:r>
    </w:p>
    <w:p>
      <w:pPr>
        <w:pStyle w:val="0"/>
        <w:spacing w:before="200" w:line-rule="auto"/>
        <w:ind w:firstLine="540"/>
        <w:jc w:val="both"/>
      </w:pPr>
      <w:r>
        <w:rPr>
          <w:sz w:val="20"/>
        </w:rPr>
        <w:t xml:space="preserve">от 3 до 7 лет - 9 баллов;</w:t>
      </w:r>
    </w:p>
    <w:p>
      <w:pPr>
        <w:pStyle w:val="0"/>
        <w:spacing w:before="200" w:line-rule="auto"/>
        <w:ind w:firstLine="540"/>
        <w:jc w:val="both"/>
      </w:pPr>
      <w:r>
        <w:rPr>
          <w:sz w:val="20"/>
        </w:rPr>
        <w:t xml:space="preserve">более 7 лет - 8 баллов;</w:t>
      </w:r>
    </w:p>
    <w:p>
      <w:pPr>
        <w:pStyle w:val="0"/>
        <w:spacing w:before="200" w:line-rule="auto"/>
        <w:ind w:firstLine="540"/>
        <w:jc w:val="both"/>
      </w:pPr>
      <w:r>
        <w:rPr>
          <w:sz w:val="20"/>
        </w:rPr>
        <w:t xml:space="preserve">3) количество создаваемых новых рабочих мест по инвестиционному проекту, значение которого составляет:</w:t>
      </w:r>
    </w:p>
    <w:p>
      <w:pPr>
        <w:pStyle w:val="0"/>
        <w:spacing w:before="200" w:line-rule="auto"/>
        <w:ind w:firstLine="540"/>
        <w:jc w:val="both"/>
      </w:pPr>
      <w:r>
        <w:rPr>
          <w:sz w:val="20"/>
        </w:rPr>
        <w:t xml:space="preserve">более 100 человек - 10 баллов;</w:t>
      </w:r>
    </w:p>
    <w:p>
      <w:pPr>
        <w:pStyle w:val="0"/>
        <w:spacing w:before="200" w:line-rule="auto"/>
        <w:ind w:firstLine="540"/>
        <w:jc w:val="both"/>
      </w:pPr>
      <w:r>
        <w:rPr>
          <w:sz w:val="20"/>
        </w:rPr>
        <w:t xml:space="preserve">от 75 до 100 человек - 9 баллов;</w:t>
      </w:r>
    </w:p>
    <w:p>
      <w:pPr>
        <w:pStyle w:val="0"/>
        <w:spacing w:before="200" w:line-rule="auto"/>
        <w:ind w:firstLine="540"/>
        <w:jc w:val="both"/>
      </w:pPr>
      <w:r>
        <w:rPr>
          <w:sz w:val="20"/>
        </w:rPr>
        <w:t xml:space="preserve">от 50 до 75 человек - 8 баллов;</w:t>
      </w:r>
    </w:p>
    <w:p>
      <w:pPr>
        <w:pStyle w:val="0"/>
        <w:spacing w:before="200" w:line-rule="auto"/>
        <w:ind w:firstLine="540"/>
        <w:jc w:val="both"/>
      </w:pPr>
      <w:r>
        <w:rPr>
          <w:sz w:val="20"/>
        </w:rPr>
        <w:t xml:space="preserve">от 25 до 50 человек - 7 баллов;</w:t>
      </w:r>
    </w:p>
    <w:p>
      <w:pPr>
        <w:pStyle w:val="0"/>
        <w:spacing w:before="200" w:line-rule="auto"/>
        <w:ind w:firstLine="540"/>
        <w:jc w:val="both"/>
      </w:pPr>
      <w:r>
        <w:rPr>
          <w:sz w:val="20"/>
        </w:rPr>
        <w:t xml:space="preserve">менее 25 человек - 6 баллов;</w:t>
      </w:r>
    </w:p>
    <w:p>
      <w:pPr>
        <w:pStyle w:val="0"/>
        <w:spacing w:before="200" w:line-rule="auto"/>
        <w:ind w:firstLine="540"/>
        <w:jc w:val="both"/>
      </w:pPr>
      <w:r>
        <w:rPr>
          <w:sz w:val="20"/>
        </w:rPr>
        <w:t xml:space="preserve">4) уровень среднемесячной заработной платы в расчете на одного работника инвестора по инвестиционному проекту, рассчитываемый как уровень превышения размера среднемесячной заработной платы в расчете на одного работника инвестора по инвестиционному проекту в год выхода инвестиционного проекта на проектную мощность (или за отчетный период, предшествующий дате заседания комиссии, в случае если инвестиционный проект вышел на проектную мощность) по отношению к установленной величине минимального размера оплаты труда, значение которого составляет:</w:t>
      </w:r>
    </w:p>
    <w:p>
      <w:pPr>
        <w:pStyle w:val="0"/>
        <w:jc w:val="both"/>
      </w:pPr>
      <w:r>
        <w:rPr>
          <w:sz w:val="20"/>
        </w:rPr>
        <w:t xml:space="preserve">(в ред. </w:t>
      </w:r>
      <w:hyperlink w:history="0" r:id="rId156"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22.06.2021 N 232-п)</w:t>
      </w:r>
    </w:p>
    <w:p>
      <w:pPr>
        <w:pStyle w:val="0"/>
        <w:spacing w:before="200" w:line-rule="auto"/>
        <w:ind w:firstLine="540"/>
        <w:jc w:val="both"/>
      </w:pPr>
      <w:r>
        <w:rPr>
          <w:sz w:val="20"/>
        </w:rPr>
        <w:t xml:space="preserve">более чем в 4 раза - 10 баллов;</w:t>
      </w:r>
    </w:p>
    <w:p>
      <w:pPr>
        <w:pStyle w:val="0"/>
        <w:spacing w:before="200" w:line-rule="auto"/>
        <w:ind w:firstLine="540"/>
        <w:jc w:val="both"/>
      </w:pPr>
      <w:r>
        <w:rPr>
          <w:sz w:val="20"/>
        </w:rPr>
        <w:t xml:space="preserve">от 2 до 4 раз - 9 баллов;</w:t>
      </w:r>
    </w:p>
    <w:p>
      <w:pPr>
        <w:pStyle w:val="0"/>
        <w:spacing w:before="200" w:line-rule="auto"/>
        <w:ind w:firstLine="540"/>
        <w:jc w:val="both"/>
      </w:pPr>
      <w:r>
        <w:rPr>
          <w:sz w:val="20"/>
        </w:rPr>
        <w:t xml:space="preserve">менее чем в 2 раза - 8 баллов;</w:t>
      </w:r>
    </w:p>
    <w:p>
      <w:pPr>
        <w:pStyle w:val="0"/>
        <w:spacing w:before="200" w:line-rule="auto"/>
        <w:ind w:firstLine="540"/>
        <w:jc w:val="both"/>
      </w:pPr>
      <w:r>
        <w:rPr>
          <w:sz w:val="20"/>
        </w:rPr>
        <w:t xml:space="preserve">5) показатель бюджетной эффективности по инвестиционному проекту, определяемый согласно </w:t>
      </w:r>
      <w:hyperlink w:history="0" r:id="rId157"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постановлению</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значение которого составляет:</w:t>
      </w:r>
    </w:p>
    <w:p>
      <w:pPr>
        <w:pStyle w:val="0"/>
        <w:spacing w:before="200" w:line-rule="auto"/>
        <w:ind w:firstLine="540"/>
        <w:jc w:val="both"/>
      </w:pPr>
      <w:r>
        <w:rPr>
          <w:sz w:val="20"/>
        </w:rPr>
        <w:t xml:space="preserve">более 4 - 30 баллов;</w:t>
      </w:r>
    </w:p>
    <w:p>
      <w:pPr>
        <w:pStyle w:val="0"/>
        <w:spacing w:before="200" w:line-rule="auto"/>
        <w:ind w:firstLine="540"/>
        <w:jc w:val="both"/>
      </w:pPr>
      <w:r>
        <w:rPr>
          <w:sz w:val="20"/>
        </w:rPr>
        <w:t xml:space="preserve">от 3 до 4 - 28 баллов;</w:t>
      </w:r>
    </w:p>
    <w:p>
      <w:pPr>
        <w:pStyle w:val="0"/>
        <w:spacing w:before="200" w:line-rule="auto"/>
        <w:ind w:firstLine="540"/>
        <w:jc w:val="both"/>
      </w:pPr>
      <w:r>
        <w:rPr>
          <w:sz w:val="20"/>
        </w:rPr>
        <w:t xml:space="preserve">от 2 до 3 - 26 баллов;</w:t>
      </w:r>
    </w:p>
    <w:p>
      <w:pPr>
        <w:pStyle w:val="0"/>
        <w:spacing w:before="200" w:line-rule="auto"/>
        <w:ind w:firstLine="540"/>
        <w:jc w:val="both"/>
      </w:pPr>
      <w:r>
        <w:rPr>
          <w:sz w:val="20"/>
        </w:rPr>
        <w:t xml:space="preserve">от 1 до 2 - 24 балла;</w:t>
      </w:r>
    </w:p>
    <w:p>
      <w:pPr>
        <w:pStyle w:val="0"/>
        <w:spacing w:before="200" w:line-rule="auto"/>
        <w:ind w:firstLine="540"/>
        <w:jc w:val="both"/>
      </w:pPr>
      <w:r>
        <w:rPr>
          <w:sz w:val="20"/>
        </w:rPr>
        <w:t xml:space="preserve">менее 1 - 22 балла;</w:t>
      </w:r>
    </w:p>
    <w:p>
      <w:pPr>
        <w:pStyle w:val="0"/>
        <w:spacing w:before="200" w:line-rule="auto"/>
        <w:ind w:firstLine="540"/>
        <w:jc w:val="both"/>
      </w:pPr>
      <w:r>
        <w:rPr>
          <w:sz w:val="20"/>
        </w:rPr>
        <w:t xml:space="preserve">6) наличие по инвестиционному проекту государственной поддержки инвестиционной деятельности, значение которого составляет:</w:t>
      </w:r>
    </w:p>
    <w:p>
      <w:pPr>
        <w:pStyle w:val="0"/>
        <w:spacing w:before="200" w:line-rule="auto"/>
        <w:ind w:firstLine="540"/>
        <w:jc w:val="both"/>
      </w:pPr>
      <w:r>
        <w:rPr>
          <w:sz w:val="20"/>
        </w:rPr>
        <w:t xml:space="preserve">в случае наличия по инвестиционному проекту государственной поддержки инвестиционной деятельности - 0 баллов;</w:t>
      </w:r>
    </w:p>
    <w:p>
      <w:pPr>
        <w:pStyle w:val="0"/>
        <w:spacing w:before="200" w:line-rule="auto"/>
        <w:ind w:firstLine="540"/>
        <w:jc w:val="both"/>
      </w:pPr>
      <w:r>
        <w:rPr>
          <w:sz w:val="20"/>
        </w:rPr>
        <w:t xml:space="preserve">в случае отсутствия по инвестиционному проекту государственной поддержки инвестиционной деятельности - 5 баллов;</w:t>
      </w:r>
    </w:p>
    <w:p>
      <w:pPr>
        <w:pStyle w:val="0"/>
        <w:spacing w:before="200" w:line-rule="auto"/>
        <w:ind w:firstLine="540"/>
        <w:jc w:val="both"/>
      </w:pPr>
      <w:r>
        <w:rPr>
          <w:sz w:val="20"/>
        </w:rPr>
        <w:t xml:space="preserve">7) степень перспективности и реализуемости инвестиционного проекта, включающая в том числе оценку эффекта от региональной кооперации при реализации инвестиционного проекта, риск срыва сроков реализации инвестиционного проекта, иные факторы, значение которой составляет:</w:t>
      </w:r>
    </w:p>
    <w:p>
      <w:pPr>
        <w:pStyle w:val="0"/>
        <w:spacing w:before="200" w:line-rule="auto"/>
        <w:ind w:firstLine="540"/>
        <w:jc w:val="both"/>
      </w:pPr>
      <w:r>
        <w:rPr>
          <w:sz w:val="20"/>
        </w:rPr>
        <w:t xml:space="preserve">высокая - 25 баллов;</w:t>
      </w:r>
    </w:p>
    <w:p>
      <w:pPr>
        <w:pStyle w:val="0"/>
        <w:spacing w:before="200" w:line-rule="auto"/>
        <w:ind w:firstLine="540"/>
        <w:jc w:val="both"/>
      </w:pPr>
      <w:r>
        <w:rPr>
          <w:sz w:val="20"/>
        </w:rPr>
        <w:t xml:space="preserve">выше среднего - 15 баллов;</w:t>
      </w:r>
    </w:p>
    <w:p>
      <w:pPr>
        <w:pStyle w:val="0"/>
        <w:spacing w:before="200" w:line-rule="auto"/>
        <w:ind w:firstLine="540"/>
        <w:jc w:val="both"/>
      </w:pPr>
      <w:r>
        <w:rPr>
          <w:sz w:val="20"/>
        </w:rPr>
        <w:t xml:space="preserve">ниже среднего - 10 баллов;</w:t>
      </w:r>
    </w:p>
    <w:p>
      <w:pPr>
        <w:pStyle w:val="0"/>
        <w:spacing w:before="200" w:line-rule="auto"/>
        <w:ind w:firstLine="540"/>
        <w:jc w:val="both"/>
      </w:pPr>
      <w:r>
        <w:rPr>
          <w:sz w:val="20"/>
        </w:rPr>
        <w:t xml:space="preserve">низкая - 0 баллов.</w:t>
      </w:r>
    </w:p>
    <w:p>
      <w:pPr>
        <w:pStyle w:val="0"/>
        <w:spacing w:before="200" w:line-rule="auto"/>
        <w:ind w:firstLine="540"/>
        <w:jc w:val="both"/>
      </w:pPr>
      <w:r>
        <w:rPr>
          <w:sz w:val="20"/>
        </w:rPr>
        <w:t xml:space="preserve">Победителями конкурса признаются инвестиционные проекты, получившие более 70 баллов.</w:t>
      </w:r>
    </w:p>
    <w:p>
      <w:pPr>
        <w:pStyle w:val="0"/>
        <w:spacing w:before="200" w:line-rule="auto"/>
        <w:ind w:firstLine="540"/>
        <w:jc w:val="both"/>
      </w:pPr>
      <w:r>
        <w:rPr>
          <w:sz w:val="20"/>
        </w:rPr>
        <w:t xml:space="preserve">10. В случае превышения заявляемых инвесторами размеров государственной поддержки инвестиционной деятельности над размером бюджетных ассигнований и (или) лимитами налоговых льгот, определенных в государственной </w:t>
      </w:r>
      <w:hyperlink w:history="0" r:id="rId158" w:tooltip="Постановление Правительства Новосибирской области от 01.04.2015 N 126-п (ред. от 17.09.2024) &quot;О государственной программе Новосибирской области &quot;Стимулирование инвестиционной активности в Новосибирской области&quot; {КонсультантПлюс}">
        <w:r>
          <w:rPr>
            <w:sz w:val="20"/>
            <w:color w:val="0000ff"/>
          </w:rPr>
          <w:t xml:space="preserve">программе</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законе Новосибирской области об областном бюджете Новосибирской области на соответствующий финансовый год и плановый период (далее - закон о бюджете) и Инвестиционной </w:t>
      </w:r>
      <w:hyperlink w:history="0" r:id="rId159" w:tooltip="Постановление Правительства Новосибирской области от 25.12.2014 N 541-п (ред. от 09.12.2019) &quot;Об утверждении Инвестиционной стратегии Новосибирской области до 2030 года&quot; {КонсультантПлюс}">
        <w:r>
          <w:rPr>
            <w:sz w:val="20"/>
            <w:color w:val="0000ff"/>
          </w:rPr>
          <w:t xml:space="preserve">стратегии</w:t>
        </w:r>
      </w:hyperlink>
      <w:r>
        <w:rPr>
          <w:sz w:val="20"/>
        </w:rP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(далее - стратегия), размер государственной поддержки инвестиционной деятельности инвестору - победителю конкурса уменьшается на коэффициент превышения заявляемых инвесторами размеров государственной поддержки инвестиционной деятельности над размером бюджетных ассигнований и (или) лимитами налоговых льгот в пределах размера бюджетных ассигнований и лимитов налоговых льгот, определенных в государственной программе, законе о бюджете и стратегии, что отражается в протоколе.</w:t>
      </w:r>
    </w:p>
    <w:p>
      <w:pPr>
        <w:pStyle w:val="0"/>
        <w:jc w:val="both"/>
      </w:pPr>
      <w:r>
        <w:rPr>
          <w:sz w:val="20"/>
        </w:rPr>
        <w:t xml:space="preserve">(в ред. </w:t>
      </w:r>
      <w:hyperlink w:history="0" r:id="rId16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11. Комиссия рассматривает определенные в повестке проекты по существу с принятием решения об оказании государственной поддержки (изменении сроков или объемов, замене (дополнении) мер государственной поддержки) либо об отказе в поддержке проекта в заявленных инвестором объемах, исходя из итогового балла. Комиссия по согласованию с инвестором вправе одобрить победителю конкурса меры государственной поддержки инвестиционной деятельности в меньшем объеме от заявленных инвестором, исходя из наличия бюджетных ассигнований и (или) свободных лимитов налоговых льгот, определенных в государственной программе, что отражается в протоколе, согласованном с указанным инвестором.</w:t>
      </w:r>
    </w:p>
    <w:p>
      <w:pPr>
        <w:pStyle w:val="0"/>
        <w:jc w:val="both"/>
      </w:pPr>
      <w:r>
        <w:rPr>
          <w:sz w:val="20"/>
        </w:rPr>
        <w:t xml:space="preserve">(в ред. </w:t>
      </w:r>
      <w:hyperlink w:history="0" r:id="rId16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Комиссия откладывает до следующего заседания комиссии рассмотрение инвестиционного проекта на заседании комиссии по инициативе представителя инвестора, направившего соответствующее заявление в министерство экономического развития Новосибирской области.</w:t>
      </w:r>
    </w:p>
    <w:p>
      <w:pPr>
        <w:pStyle w:val="0"/>
        <w:jc w:val="both"/>
      </w:pPr>
      <w:r>
        <w:rPr>
          <w:sz w:val="20"/>
        </w:rPr>
        <w:t xml:space="preserve">(в ред. </w:t>
      </w:r>
      <w:hyperlink w:history="0" r:id="rId16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12. Члены комиссии вправе выносить на голосование предложения в целях принятия решений, определенных в </w:t>
      </w:r>
      <w:hyperlink w:history="0" w:anchor="P758" w:tooltip="1. Комиссия по проведению конкурса инвестиционных проектов на территории Новосибирской области (далее - комиссия) создается в целях:">
        <w:r>
          <w:rPr>
            <w:sz w:val="20"/>
            <w:color w:val="0000ff"/>
          </w:rPr>
          <w:t xml:space="preserve">пункте 1</w:t>
        </w:r>
      </w:hyperlink>
      <w:r>
        <w:rPr>
          <w:sz w:val="20"/>
        </w:rPr>
        <w:t xml:space="preserve"> настоящего Положения. Решение по рассматриваемому предложению считается принятым в случае получения по нему простого большинства голосов членов комиссии, присутствующих на заседании. В случае равенства голосов решающим является голос председателя комиссии. Секретарь комиссии не обладает правом голоса при голосовании.</w:t>
      </w:r>
    </w:p>
    <w:p>
      <w:pPr>
        <w:pStyle w:val="0"/>
        <w:spacing w:before="200" w:line-rule="auto"/>
        <w:ind w:firstLine="540"/>
        <w:jc w:val="both"/>
      </w:pPr>
      <w:r>
        <w:rPr>
          <w:sz w:val="20"/>
        </w:rPr>
        <w:t xml:space="preserve">13. Заседания комиссии оформляются протоколом, который подписывают председатель комиссии (в его отсутствие - заместитель председателя комиссии) и секретарь комиссии. В протоколе отражается общая сумма баллов, присвоенная по количественным показателям оценки, а также баллы по качественным показателям оценки с обоснованием их присвоения. Оформленные протоколы хранятся в министерстве экономического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838" w:name="P838"/>
    <w:bookmarkEnd w:id="838"/>
    <w:p>
      <w:pPr>
        <w:pStyle w:val="2"/>
        <w:jc w:val="center"/>
      </w:pPr>
      <w:r>
        <w:rPr>
          <w:sz w:val="20"/>
        </w:rPr>
        <w:t xml:space="preserve">СОСТАВ</w:t>
      </w:r>
    </w:p>
    <w:p>
      <w:pPr>
        <w:pStyle w:val="2"/>
        <w:jc w:val="center"/>
      </w:pPr>
      <w:r>
        <w:rPr>
          <w:sz w:val="20"/>
        </w:rPr>
        <w:t xml:space="preserve">КОМИССИИ ПО ПРОВЕДЕНИЮ КОНКУРСА ИНВЕСТИЦИОННЫХ</w:t>
      </w:r>
    </w:p>
    <w:p>
      <w:pPr>
        <w:pStyle w:val="2"/>
        <w:jc w:val="center"/>
      </w:pPr>
      <w:r>
        <w:rPr>
          <w:sz w:val="20"/>
        </w:rPr>
        <w:t xml:space="preserve">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28.04.2018 </w:t>
            </w:r>
            <w:hyperlink w:history="0" r:id="rId163" w:tooltip="Постановление Правительства Новосибирской области от 28.04.2018 N 169-п &quot;О внесении изменений в постановление Правительства Новосибирской области от 19.03.2014 N 104-п&quot; {КонсультантПлюс}">
              <w:r>
                <w:rPr>
                  <w:sz w:val="20"/>
                  <w:color w:val="0000ff"/>
                </w:rPr>
                <w:t xml:space="preserve">N 169-п</w:t>
              </w:r>
            </w:hyperlink>
            <w:r>
              <w:rPr>
                <w:sz w:val="20"/>
                <w:color w:val="392c69"/>
              </w:rPr>
              <w:t xml:space="preserve">, от 21.08.2019 </w:t>
            </w:r>
            <w:hyperlink w:history="0" r:id="rId164"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22.06.2021 </w:t>
            </w:r>
            <w:hyperlink w:history="0" r:id="rId165"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28.09.2021 </w:t>
            </w:r>
            <w:hyperlink w:history="0" r:id="rId166" w:tooltip="Постановление Правительства Новосибирской области от 28.09.2021 N 389-п &quot;О внесении изменений в отдельные постановления Правительства Новосибирской области&quot; {КонсультантПлюс}">
              <w:r>
                <w:rPr>
                  <w:sz w:val="20"/>
                  <w:color w:val="0000ff"/>
                </w:rPr>
                <w:t xml:space="preserve">N 389-п</w:t>
              </w:r>
            </w:hyperlink>
            <w:r>
              <w:rPr>
                <w:sz w:val="20"/>
                <w:color w:val="392c69"/>
              </w:rPr>
              <w:t xml:space="preserve">, от 28.03.2023 </w:t>
            </w:r>
            <w:hyperlink w:history="0" r:id="rId16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 от 25.07.2023 </w:t>
            </w:r>
            <w:hyperlink w:history="0" r:id="rId168"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948"/>
        <w:gridCol w:w="396"/>
        <w:gridCol w:w="5725"/>
      </w:tblGrid>
      <w:tr>
        <w:tc>
          <w:tcPr>
            <w:tcW w:w="2948" w:type="dxa"/>
            <w:tcBorders>
              <w:top w:val="nil"/>
              <w:left w:val="nil"/>
              <w:bottom w:val="nil"/>
              <w:right w:val="nil"/>
            </w:tcBorders>
          </w:tcPr>
          <w:p>
            <w:pPr>
              <w:pStyle w:val="0"/>
            </w:pPr>
            <w:r>
              <w:rPr>
                <w:sz w:val="20"/>
              </w:rPr>
              <w:t xml:space="preserve">Знатков</w:t>
            </w:r>
          </w:p>
          <w:p>
            <w:pPr>
              <w:pStyle w:val="0"/>
            </w:pPr>
            <w:r>
              <w:rPr>
                <w:sz w:val="20"/>
              </w:rPr>
              <w:t xml:space="preserve">Владимир Михайлович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первый заместитель Председателя Правительства Новосибирской области, председатель комиссии;</w:t>
            </w:r>
          </w:p>
        </w:tc>
      </w:tr>
      <w:tr>
        <w:tc>
          <w:tcPr>
            <w:tcW w:w="2948" w:type="dxa"/>
            <w:tcBorders>
              <w:top w:val="nil"/>
              <w:left w:val="nil"/>
              <w:bottom w:val="nil"/>
              <w:right w:val="nil"/>
            </w:tcBorders>
          </w:tcPr>
          <w:p>
            <w:pPr>
              <w:pStyle w:val="0"/>
            </w:pPr>
            <w:r>
              <w:rPr>
                <w:sz w:val="20"/>
              </w:rPr>
              <w:t xml:space="preserve">Решетников</w:t>
            </w:r>
          </w:p>
          <w:p>
            <w:pPr>
              <w:pStyle w:val="0"/>
            </w:pPr>
            <w:r>
              <w:rPr>
                <w:sz w:val="20"/>
              </w:rPr>
              <w:t xml:space="preserve">Лев Николаевич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министр экономического развития Новосибирской области, заместитель председателя комиссии;</w:t>
            </w:r>
          </w:p>
        </w:tc>
      </w:tr>
      <w:tr>
        <w:tc>
          <w:tcPr>
            <w:tcW w:w="2948" w:type="dxa"/>
            <w:tcBorders>
              <w:top w:val="nil"/>
              <w:left w:val="nil"/>
              <w:bottom w:val="nil"/>
              <w:right w:val="nil"/>
            </w:tcBorders>
          </w:tcPr>
          <w:p>
            <w:pPr>
              <w:pStyle w:val="0"/>
            </w:pPr>
            <w:r>
              <w:rPr>
                <w:sz w:val="20"/>
              </w:rPr>
              <w:t xml:space="preserve">Волокитин</w:t>
            </w:r>
          </w:p>
          <w:p>
            <w:pPr>
              <w:pStyle w:val="0"/>
            </w:pPr>
            <w:r>
              <w:rPr>
                <w:sz w:val="20"/>
              </w:rPr>
              <w:t xml:space="preserve">Павел Николаевич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начальник управления инвестиционной политики министерства экономического развития Новосибирской области, секретарь комиссии;</w:t>
            </w:r>
          </w:p>
        </w:tc>
      </w:tr>
      <w:tr>
        <w:tc>
          <w:tcPr>
            <w:tcW w:w="2948" w:type="dxa"/>
            <w:tcBorders>
              <w:top w:val="nil"/>
              <w:left w:val="nil"/>
              <w:bottom w:val="nil"/>
              <w:right w:val="nil"/>
            </w:tcBorders>
          </w:tcPr>
          <w:p>
            <w:pPr>
              <w:pStyle w:val="0"/>
            </w:pPr>
            <w:r>
              <w:rPr>
                <w:sz w:val="20"/>
              </w:rPr>
              <w:t xml:space="preserve">Бернадский</w:t>
            </w:r>
          </w:p>
          <w:p>
            <w:pPr>
              <w:pStyle w:val="0"/>
            </w:pPr>
            <w:r>
              <w:rPr>
                <w:sz w:val="20"/>
              </w:rPr>
              <w:t xml:space="preserve">Юрий Иванович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заместитель председателя Общественной палаты Новосибирской области, генеральный директор общественной организации "Межрегиональная ассоциация руководителей предприятий" (по согласованию);</w:t>
            </w:r>
          </w:p>
        </w:tc>
      </w:tr>
      <w:tr>
        <w:tc>
          <w:tcPr>
            <w:tcW w:w="2948" w:type="dxa"/>
            <w:tcBorders>
              <w:top w:val="nil"/>
              <w:left w:val="nil"/>
              <w:bottom w:val="nil"/>
              <w:right w:val="nil"/>
            </w:tcBorders>
          </w:tcPr>
          <w:p>
            <w:pPr>
              <w:pStyle w:val="0"/>
            </w:pPr>
            <w:r>
              <w:rPr>
                <w:sz w:val="20"/>
              </w:rPr>
              <w:t xml:space="preserve">Голубенко</w:t>
            </w:r>
          </w:p>
          <w:p>
            <w:pPr>
              <w:pStyle w:val="0"/>
            </w:pPr>
            <w:r>
              <w:rPr>
                <w:sz w:val="20"/>
              </w:rPr>
              <w:t xml:space="preserve">Виталий Юрьевич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заместитель Председателя Правительства Новосибирской области - министр финансов и налоговой политики Новосибирской области;</w:t>
            </w:r>
          </w:p>
        </w:tc>
      </w:tr>
      <w:tr>
        <w:tc>
          <w:tcPr>
            <w:tcW w:w="2948" w:type="dxa"/>
            <w:tcBorders>
              <w:top w:val="nil"/>
              <w:left w:val="nil"/>
              <w:bottom w:val="nil"/>
              <w:right w:val="nil"/>
            </w:tcBorders>
          </w:tcPr>
          <w:p>
            <w:pPr>
              <w:pStyle w:val="0"/>
            </w:pPr>
            <w:r>
              <w:rPr>
                <w:sz w:val="20"/>
              </w:rPr>
              <w:t xml:space="preserve">Гончаров</w:t>
            </w:r>
          </w:p>
          <w:p>
            <w:pPr>
              <w:pStyle w:val="0"/>
            </w:pPr>
            <w:r>
              <w:rPr>
                <w:sz w:val="20"/>
              </w:rPr>
              <w:t xml:space="preserve">Андрей Александрович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министр промышленности, торговли и развития предпринимательства Новосибирской области;</w:t>
            </w:r>
          </w:p>
        </w:tc>
      </w:tr>
      <w:tr>
        <w:tc>
          <w:tcPr>
            <w:tcW w:w="2948" w:type="dxa"/>
            <w:tcBorders>
              <w:top w:val="nil"/>
              <w:left w:val="nil"/>
              <w:bottom w:val="nil"/>
              <w:right w:val="nil"/>
            </w:tcBorders>
          </w:tcPr>
          <w:p>
            <w:pPr>
              <w:pStyle w:val="0"/>
            </w:pPr>
            <w:r>
              <w:rPr>
                <w:sz w:val="20"/>
              </w:rPr>
              <w:t xml:space="preserve">Зырянов</w:t>
            </w:r>
          </w:p>
          <w:p>
            <w:pPr>
              <w:pStyle w:val="0"/>
            </w:pPr>
            <w:r>
              <w:rPr>
                <w:sz w:val="20"/>
              </w:rPr>
              <w:t xml:space="preserve">Александр Сергеевич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генеральный директор акционерного общества "Агентство инвестиционного развития Новосибирской области" (по согласованию);</w:t>
            </w:r>
          </w:p>
        </w:tc>
      </w:tr>
      <w:tr>
        <w:tc>
          <w:tcPr>
            <w:tcW w:w="2948" w:type="dxa"/>
            <w:tcBorders>
              <w:top w:val="nil"/>
              <w:left w:val="nil"/>
              <w:bottom w:val="nil"/>
              <w:right w:val="nil"/>
            </w:tcBorders>
          </w:tcPr>
          <w:p>
            <w:pPr>
              <w:pStyle w:val="0"/>
              <w:jc w:val="both"/>
            </w:pPr>
            <w:r>
              <w:rPr>
                <w:sz w:val="20"/>
              </w:rPr>
              <w:t xml:space="preserve">Колмаков</w:t>
            </w:r>
          </w:p>
          <w:p>
            <w:pPr>
              <w:pStyle w:val="0"/>
              <w:jc w:val="both"/>
            </w:pPr>
            <w:r>
              <w:rPr>
                <w:sz w:val="20"/>
              </w:rPr>
              <w:t xml:space="preserve">Алексей Викторович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министр строительства Новосибирской области;</w:t>
            </w:r>
          </w:p>
        </w:tc>
      </w:tr>
      <w:tr>
        <w:tc>
          <w:tcPr>
            <w:tcW w:w="2948" w:type="dxa"/>
            <w:tcBorders>
              <w:top w:val="nil"/>
              <w:left w:val="nil"/>
              <w:bottom w:val="nil"/>
              <w:right w:val="nil"/>
            </w:tcBorders>
          </w:tcPr>
          <w:p>
            <w:pPr>
              <w:pStyle w:val="0"/>
              <w:jc w:val="both"/>
            </w:pPr>
            <w:r>
              <w:rPr>
                <w:sz w:val="20"/>
              </w:rPr>
              <w:t xml:space="preserve">Машанов</w:t>
            </w:r>
          </w:p>
          <w:p>
            <w:pPr>
              <w:pStyle w:val="0"/>
              <w:jc w:val="both"/>
            </w:pPr>
            <w:r>
              <w:rPr>
                <w:sz w:val="20"/>
              </w:rPr>
              <w:t xml:space="preserve">Владимир Александрович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заместитель министра труда и социального развития Новосибирской области;</w:t>
            </w:r>
          </w:p>
        </w:tc>
      </w:tr>
      <w:tr>
        <w:tc>
          <w:tcPr>
            <w:tcW w:w="2948" w:type="dxa"/>
            <w:tcBorders>
              <w:top w:val="nil"/>
              <w:left w:val="nil"/>
              <w:bottom w:val="nil"/>
              <w:right w:val="nil"/>
            </w:tcBorders>
          </w:tcPr>
          <w:p>
            <w:pPr>
              <w:pStyle w:val="0"/>
            </w:pPr>
            <w:r>
              <w:rPr>
                <w:sz w:val="20"/>
              </w:rPr>
              <w:t xml:space="preserve">Мочалин</w:t>
            </w:r>
          </w:p>
          <w:p>
            <w:pPr>
              <w:pStyle w:val="0"/>
            </w:pPr>
            <w:r>
              <w:rPr>
                <w:sz w:val="20"/>
              </w:rPr>
              <w:t xml:space="preserve">Николай Андреевич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депутат Законодательного Собрания Новосибирской области (по согласованию);</w:t>
            </w:r>
          </w:p>
        </w:tc>
      </w:tr>
      <w:tr>
        <w:tc>
          <w:tcPr>
            <w:tcW w:w="2948" w:type="dxa"/>
            <w:tcBorders>
              <w:top w:val="nil"/>
              <w:left w:val="nil"/>
              <w:bottom w:val="nil"/>
              <w:right w:val="nil"/>
            </w:tcBorders>
          </w:tcPr>
          <w:p>
            <w:pPr>
              <w:pStyle w:val="0"/>
            </w:pPr>
            <w:r>
              <w:rPr>
                <w:sz w:val="20"/>
              </w:rPr>
              <w:t xml:space="preserve">Николаев</w:t>
            </w:r>
          </w:p>
          <w:p>
            <w:pPr>
              <w:pStyle w:val="0"/>
            </w:pPr>
            <w:r>
              <w:rPr>
                <w:sz w:val="20"/>
              </w:rPr>
              <w:t xml:space="preserve">Федор Анатольевич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председатель комитета Законодательного Собрания Новосибирской области по бюджетной, финансово-экономической политике и собственности (по согласованию);</w:t>
            </w:r>
          </w:p>
        </w:tc>
      </w:tr>
      <w:tr>
        <w:tc>
          <w:tcPr>
            <w:tcW w:w="2948" w:type="dxa"/>
            <w:tcBorders>
              <w:top w:val="nil"/>
              <w:left w:val="nil"/>
              <w:bottom w:val="nil"/>
              <w:right w:val="nil"/>
            </w:tcBorders>
          </w:tcPr>
          <w:p>
            <w:pPr>
              <w:pStyle w:val="0"/>
            </w:pPr>
            <w:r>
              <w:rPr>
                <w:sz w:val="20"/>
              </w:rPr>
              <w:t xml:space="preserve">Подойма</w:t>
            </w:r>
          </w:p>
          <w:p>
            <w:pPr>
              <w:pStyle w:val="0"/>
            </w:pPr>
            <w:r>
              <w:rPr>
                <w:sz w:val="20"/>
              </w:rPr>
              <w:t xml:space="preserve">Олег Николаевич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председатель комитета Законодательного Собрания Новосибирской области по строительству, жилищно-коммунальному комплексу и тарифам (по согласованию);</w:t>
            </w:r>
          </w:p>
        </w:tc>
      </w:tr>
      <w:tr>
        <w:tc>
          <w:tcPr>
            <w:tcW w:w="2948" w:type="dxa"/>
            <w:tcBorders>
              <w:top w:val="nil"/>
              <w:left w:val="nil"/>
              <w:bottom w:val="nil"/>
              <w:right w:val="nil"/>
            </w:tcBorders>
          </w:tcPr>
          <w:p>
            <w:pPr>
              <w:pStyle w:val="0"/>
            </w:pPr>
            <w:r>
              <w:rPr>
                <w:sz w:val="20"/>
              </w:rPr>
              <w:t xml:space="preserve">Семка</w:t>
            </w:r>
          </w:p>
          <w:p>
            <w:pPr>
              <w:pStyle w:val="0"/>
            </w:pPr>
            <w:r>
              <w:rPr>
                <w:sz w:val="20"/>
              </w:rPr>
              <w:t xml:space="preserve">Сергей Николаевич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заместитель Губернатора Новосибирской области;</w:t>
            </w:r>
          </w:p>
        </w:tc>
      </w:tr>
      <w:tr>
        <w:tc>
          <w:tcPr>
            <w:tcW w:w="2948" w:type="dxa"/>
            <w:tcBorders>
              <w:top w:val="nil"/>
              <w:left w:val="nil"/>
              <w:bottom w:val="nil"/>
              <w:right w:val="nil"/>
            </w:tcBorders>
          </w:tcPr>
          <w:p>
            <w:pPr>
              <w:pStyle w:val="0"/>
            </w:pPr>
            <w:r>
              <w:rPr>
                <w:sz w:val="20"/>
              </w:rPr>
              <w:t xml:space="preserve">Фадина</w:t>
            </w:r>
          </w:p>
          <w:p>
            <w:pPr>
              <w:pStyle w:val="0"/>
            </w:pPr>
            <w:r>
              <w:rPr>
                <w:sz w:val="20"/>
              </w:rPr>
              <w:t xml:space="preserve">Юлия Викторовна</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начальник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области;</w:t>
            </w:r>
          </w:p>
        </w:tc>
      </w:tr>
      <w:tr>
        <w:tc>
          <w:tcPr>
            <w:tcW w:w="2948" w:type="dxa"/>
            <w:tcBorders>
              <w:top w:val="nil"/>
              <w:left w:val="nil"/>
              <w:bottom w:val="nil"/>
              <w:right w:val="nil"/>
            </w:tcBorders>
          </w:tcPr>
          <w:p>
            <w:pPr>
              <w:pStyle w:val="0"/>
            </w:pPr>
            <w:r>
              <w:rPr>
                <w:sz w:val="20"/>
              </w:rPr>
              <w:t xml:space="preserve">Шимкив</w:t>
            </w:r>
          </w:p>
          <w:p>
            <w:pPr>
              <w:pStyle w:val="0"/>
            </w:pPr>
            <w:r>
              <w:rPr>
                <w:sz w:val="20"/>
              </w:rPr>
              <w:t xml:space="preserve">Андрей Иванович</w:t>
            </w:r>
          </w:p>
        </w:tc>
        <w:tc>
          <w:tcPr>
            <w:tcW w:w="396" w:type="dxa"/>
            <w:tcBorders>
              <w:top w:val="nil"/>
              <w:left w:val="nil"/>
              <w:bottom w:val="nil"/>
              <w:right w:val="nil"/>
            </w:tcBorders>
          </w:tcPr>
          <w:p>
            <w:pPr>
              <w:pStyle w:val="0"/>
              <w:jc w:val="center"/>
            </w:pPr>
            <w:r>
              <w:rPr>
                <w:sz w:val="20"/>
              </w:rPr>
              <w:t xml:space="preserve">-</w:t>
            </w:r>
          </w:p>
        </w:tc>
        <w:tc>
          <w:tcPr>
            <w:tcW w:w="5725" w:type="dxa"/>
            <w:tcBorders>
              <w:top w:val="nil"/>
              <w:left w:val="nil"/>
              <w:bottom w:val="nil"/>
              <w:right w:val="nil"/>
            </w:tcBorders>
          </w:tcPr>
          <w:p>
            <w:pPr>
              <w:pStyle w:val="0"/>
              <w:jc w:val="both"/>
            </w:pPr>
            <w:r>
              <w:rPr>
                <w:sz w:val="20"/>
              </w:rPr>
              <w:t xml:space="preserve">Председатель Законодательного Собрания Новосибирской области (по согласованию).</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916" w:name="P916"/>
    <w:bookmarkEnd w:id="916"/>
    <w:p>
      <w:pPr>
        <w:pStyle w:val="2"/>
        <w:jc w:val="center"/>
      </w:pPr>
      <w:r>
        <w:rPr>
          <w:sz w:val="20"/>
        </w:rPr>
        <w:t xml:space="preserve">ПОРЯДОК</w:t>
      </w:r>
    </w:p>
    <w:p>
      <w:pPr>
        <w:pStyle w:val="2"/>
        <w:jc w:val="center"/>
      </w:pPr>
      <w:r>
        <w:rPr>
          <w:sz w:val="20"/>
        </w:rPr>
        <w:t xml:space="preserve">ПРОВЕДЕНИЯ ЭКСПЕРТИЗЫ ИНВЕСТИЦИОННЫХ ПРОЕКТОВ,</w:t>
      </w:r>
    </w:p>
    <w:p>
      <w:pPr>
        <w:pStyle w:val="2"/>
        <w:jc w:val="center"/>
      </w:pPr>
      <w:r>
        <w:rPr>
          <w:sz w:val="20"/>
        </w:rPr>
        <w:t xml:space="preserve">ПРЕТЕНДУЮЩИХ НА ПОЛУЧЕНИЕ ГОСУДАРСТВЕННОЙ</w:t>
      </w:r>
    </w:p>
    <w:p>
      <w:pPr>
        <w:pStyle w:val="2"/>
        <w:jc w:val="center"/>
      </w:pPr>
      <w:r>
        <w:rPr>
          <w:sz w:val="20"/>
        </w:rPr>
        <w:t xml:space="preserve">ПОДДЕРЖКИ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21.08.2019 </w:t>
            </w:r>
            <w:hyperlink w:history="0" r:id="rId169"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22.06.2021 </w:t>
            </w:r>
            <w:hyperlink w:history="0" r:id="rId170"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 от 28.03.2023 </w:t>
            </w:r>
            <w:hyperlink w:history="0" r:id="rId17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w:t>
            </w:r>
          </w:p>
          <w:p>
            <w:pPr>
              <w:pStyle w:val="0"/>
              <w:jc w:val="center"/>
            </w:pPr>
            <w:r>
              <w:rPr>
                <w:sz w:val="20"/>
                <w:color w:val="392c69"/>
              </w:rPr>
              <w:t xml:space="preserve">от 17.10.2023 </w:t>
            </w:r>
            <w:hyperlink w:history="0" r:id="rId172"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28.11.2023 </w:t>
            </w:r>
            <w:hyperlink w:history="0" r:id="rId173"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N 544-п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7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Законом</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spacing w:before="200" w:line-rule="auto"/>
        <w:ind w:firstLine="540"/>
        <w:jc w:val="both"/>
      </w:pPr>
      <w:r>
        <w:rPr>
          <w:sz w:val="20"/>
        </w:rPr>
        <w:t xml:space="preserve">Настоящий Порядок определяет последовательность действий по проведению экспертизы инвестиционных проектов (далее - экспертиза), претендующих на получение государственной поддержки инвестиционной деятельности в соответствии с Законом.</w:t>
      </w:r>
    </w:p>
    <w:p>
      <w:pPr>
        <w:pStyle w:val="0"/>
        <w:spacing w:before="200" w:line-rule="auto"/>
        <w:ind w:firstLine="540"/>
        <w:jc w:val="both"/>
      </w:pPr>
      <w:r>
        <w:rPr>
          <w:sz w:val="20"/>
        </w:rPr>
        <w:t xml:space="preserve">2. Обязательным условием для участия заявителей на получение мер государственной поддержки инвестиционной деятельности, предусмотренных </w:t>
      </w:r>
      <w:hyperlink w:history="0" r:id="rId17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пунктами 1</w:t>
        </w:r>
      </w:hyperlink>
      <w:r>
        <w:rPr>
          <w:sz w:val="20"/>
        </w:rPr>
        <w:t xml:space="preserve"> - </w:t>
      </w:r>
      <w:hyperlink w:history="0" r:id="rId17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3 статьи 6</w:t>
        </w:r>
      </w:hyperlink>
      <w:r>
        <w:rPr>
          <w:sz w:val="20"/>
        </w:rPr>
        <w:t xml:space="preserve"> Закона (далее - инвесторы), в конкурсе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 (далее - конкурс), а также в случае изменения сроков предоставления и объемов государственной поддержки инвестиционной деятельности, является проведение экспертизы инвестиционного проекта.</w:t>
      </w:r>
    </w:p>
    <w:p>
      <w:pPr>
        <w:pStyle w:val="0"/>
        <w:jc w:val="both"/>
      </w:pPr>
      <w:r>
        <w:rPr>
          <w:sz w:val="20"/>
        </w:rPr>
        <w:t xml:space="preserve">(в ред. </w:t>
      </w:r>
      <w:hyperlink w:history="0" r:id="rId17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3. Объектом экспертизы являются документы, представленные инвесторами в соответствии с </w:t>
      </w:r>
      <w:hyperlink w:history="0" w:anchor="P55" w:tooltip="ПОРЯДОК">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w:t>
      </w:r>
    </w:p>
    <w:p>
      <w:pPr>
        <w:pStyle w:val="0"/>
        <w:jc w:val="both"/>
      </w:pPr>
      <w:r>
        <w:rPr>
          <w:sz w:val="20"/>
        </w:rPr>
        <w:t xml:space="preserve">(в ред. </w:t>
      </w:r>
      <w:hyperlink w:history="0" r:id="rId178"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4. Проведение экспертизы инвестиционного проекта организует министерство экономического развития Новосибирской области (далее - министерство) с участием других областных исполнительных органов Новосибирской области.</w:t>
      </w:r>
    </w:p>
    <w:p>
      <w:pPr>
        <w:pStyle w:val="0"/>
        <w:jc w:val="both"/>
      </w:pPr>
      <w:r>
        <w:rPr>
          <w:sz w:val="20"/>
        </w:rPr>
        <w:t xml:space="preserve">(в ред. </w:t>
      </w:r>
      <w:hyperlink w:history="0" r:id="rId179"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5. Результатом экспертизы является заключение, содержащее мотивированные выводы, подготовленные министерством и областными исполнительными органами Новосибирской области, к сфере деятельности которых относятся представленные на конкурс инвестиционные проекты.</w:t>
      </w:r>
    </w:p>
    <w:p>
      <w:pPr>
        <w:pStyle w:val="0"/>
        <w:jc w:val="both"/>
      </w:pPr>
      <w:r>
        <w:rPr>
          <w:sz w:val="20"/>
        </w:rPr>
        <w:t xml:space="preserve">(в ред. </w:t>
      </w:r>
      <w:hyperlink w:history="0" r:id="rId180"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bookmarkStart w:id="935" w:name="P935"/>
    <w:bookmarkEnd w:id="935"/>
    <w:p>
      <w:pPr>
        <w:pStyle w:val="0"/>
        <w:spacing w:before="200" w:line-rule="auto"/>
        <w:ind w:firstLine="540"/>
        <w:jc w:val="both"/>
      </w:pPr>
      <w:r>
        <w:rPr>
          <w:sz w:val="20"/>
        </w:rPr>
        <w:t xml:space="preserve">6. Заключение министерства представляет собой текстовый документ, составленный в произвольной форме и содержащий обязательные разделы:</w:t>
      </w:r>
    </w:p>
    <w:p>
      <w:pPr>
        <w:pStyle w:val="0"/>
        <w:spacing w:before="200" w:line-rule="auto"/>
        <w:ind w:firstLine="540"/>
        <w:jc w:val="both"/>
      </w:pPr>
      <w:r>
        <w:rPr>
          <w:sz w:val="20"/>
        </w:rPr>
        <w:t xml:space="preserve">1) сведения об инвесторе;</w:t>
      </w:r>
    </w:p>
    <w:p>
      <w:pPr>
        <w:pStyle w:val="0"/>
        <w:spacing w:before="200" w:line-rule="auto"/>
        <w:ind w:firstLine="540"/>
        <w:jc w:val="both"/>
      </w:pPr>
      <w:r>
        <w:rPr>
          <w:sz w:val="20"/>
        </w:rPr>
        <w:t xml:space="preserve">2) сведения о соответствии инвестиционного проекта перспективным направлениям инвестиционной деятельности Новосибирской области, определенным в соответствии с </w:t>
      </w:r>
      <w:hyperlink w:history="0" r:id="rId181"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постановлением</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pPr>
        <w:pStyle w:val="0"/>
        <w:spacing w:before="200" w:line-rule="auto"/>
        <w:ind w:firstLine="540"/>
        <w:jc w:val="both"/>
      </w:pPr>
      <w:r>
        <w:rPr>
          <w:sz w:val="20"/>
        </w:rPr>
        <w:t xml:space="preserve">3) описание инвестиционного проекта;</w:t>
      </w:r>
    </w:p>
    <w:p>
      <w:pPr>
        <w:pStyle w:val="0"/>
        <w:spacing w:before="200" w:line-rule="auto"/>
        <w:ind w:firstLine="540"/>
        <w:jc w:val="both"/>
      </w:pPr>
      <w:r>
        <w:rPr>
          <w:sz w:val="20"/>
        </w:rPr>
        <w:t xml:space="preserve">4) объемы и источники финансирования инвестиционного проекта;</w:t>
      </w:r>
    </w:p>
    <w:p>
      <w:pPr>
        <w:pStyle w:val="0"/>
        <w:spacing w:before="200" w:line-rule="auto"/>
        <w:ind w:firstLine="540"/>
        <w:jc w:val="both"/>
      </w:pPr>
      <w:r>
        <w:rPr>
          <w:sz w:val="20"/>
        </w:rPr>
        <w:t xml:space="preserve">5) место реализации инвестиционного проекта;</w:t>
      </w:r>
    </w:p>
    <w:p>
      <w:pPr>
        <w:pStyle w:val="0"/>
        <w:spacing w:before="200" w:line-rule="auto"/>
        <w:ind w:firstLine="540"/>
        <w:jc w:val="both"/>
      </w:pPr>
      <w:r>
        <w:rPr>
          <w:sz w:val="20"/>
        </w:rPr>
        <w:t xml:space="preserve">6) стадия реализации инвестиционного проекта;</w:t>
      </w:r>
    </w:p>
    <w:p>
      <w:pPr>
        <w:pStyle w:val="0"/>
        <w:spacing w:before="200" w:line-rule="auto"/>
        <w:ind w:firstLine="540"/>
        <w:jc w:val="both"/>
      </w:pPr>
      <w:r>
        <w:rPr>
          <w:sz w:val="20"/>
        </w:rPr>
        <w:t xml:space="preserve">7) социальная эффективность от реализации инвестиционного проекта;</w:t>
      </w:r>
    </w:p>
    <w:p>
      <w:pPr>
        <w:pStyle w:val="0"/>
        <w:spacing w:before="200" w:line-rule="auto"/>
        <w:ind w:firstLine="540"/>
        <w:jc w:val="both"/>
      </w:pPr>
      <w:r>
        <w:rPr>
          <w:sz w:val="20"/>
        </w:rPr>
        <w:t xml:space="preserve">8) бюджетная эффективность от реализации инвестиционного проекта, показатель налоговой нагрузки;</w:t>
      </w:r>
    </w:p>
    <w:p>
      <w:pPr>
        <w:pStyle w:val="0"/>
        <w:jc w:val="both"/>
      </w:pPr>
      <w:r>
        <w:rPr>
          <w:sz w:val="20"/>
        </w:rPr>
        <w:t xml:space="preserve">(в ред. </w:t>
      </w:r>
      <w:hyperlink w:history="0" r:id="rId182"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17.10.2023 N 480-п)</w:t>
      </w:r>
    </w:p>
    <w:p>
      <w:pPr>
        <w:pStyle w:val="0"/>
        <w:spacing w:before="200" w:line-rule="auto"/>
        <w:ind w:firstLine="540"/>
        <w:jc w:val="both"/>
      </w:pPr>
      <w:r>
        <w:rPr>
          <w:sz w:val="20"/>
        </w:rPr>
        <w:t xml:space="preserve">9) финансово-экономическая эффективность от реализации инвестиционного проекта;</w:t>
      </w:r>
    </w:p>
    <w:p>
      <w:pPr>
        <w:pStyle w:val="0"/>
        <w:spacing w:before="200" w:line-rule="auto"/>
        <w:ind w:firstLine="540"/>
        <w:jc w:val="both"/>
      </w:pPr>
      <w:r>
        <w:rPr>
          <w:sz w:val="20"/>
        </w:rPr>
        <w:t xml:space="preserve">10) сведения об оценке эффекта от региональной кооперации при реализации инвестиционного проекта;</w:t>
      </w:r>
    </w:p>
    <w:p>
      <w:pPr>
        <w:pStyle w:val="0"/>
        <w:spacing w:before="200" w:line-rule="auto"/>
        <w:ind w:firstLine="540"/>
        <w:jc w:val="both"/>
      </w:pPr>
      <w:r>
        <w:rPr>
          <w:sz w:val="20"/>
        </w:rPr>
        <w:t xml:space="preserve">11) предполагаемые меры, объемы и сроки предоставления государственной поддержки инвестиционного проекта;</w:t>
      </w:r>
    </w:p>
    <w:p>
      <w:pPr>
        <w:pStyle w:val="0"/>
        <w:spacing w:before="200" w:line-rule="auto"/>
        <w:ind w:firstLine="540"/>
        <w:jc w:val="both"/>
      </w:pPr>
      <w:r>
        <w:rPr>
          <w:sz w:val="20"/>
        </w:rPr>
        <w:t xml:space="preserve">12) итоговый балл по количественным показателям оценки инвестиционного проекта, рассчитанный в соответствии с </w:t>
      </w:r>
      <w:hyperlink w:history="0" w:anchor="P773" w:tooltip="8. Комиссия определяет победителей конкурса и меры государственной поддержки инвестиционной деятельности в соответствии с Порядком организации и проведения конкурса инвестиционных проектов на территории Новосибирской области, утвержденным настоящим постановлением, с учетом требований, установленных статьей 7 Закона, на основе следующих качественных и количественных показателей оценки:">
        <w:r>
          <w:rPr>
            <w:sz w:val="20"/>
            <w:color w:val="0000ff"/>
          </w:rPr>
          <w:t xml:space="preserve">пунктами 8</w:t>
        </w:r>
      </w:hyperlink>
      <w:r>
        <w:rPr>
          <w:sz w:val="20"/>
        </w:rPr>
        <w:t xml:space="preserve"> и </w:t>
      </w:r>
      <w:hyperlink w:history="0" w:anchor="P783" w:tooltip="9. Инвестиционные проекты оцениваются комиссией исходя из следующих значений показателей оценки:">
        <w:r>
          <w:rPr>
            <w:sz w:val="20"/>
            <w:color w:val="0000ff"/>
          </w:rPr>
          <w:t xml:space="preserve">9</w:t>
        </w:r>
      </w:hyperlink>
      <w:r>
        <w:rPr>
          <w:sz w:val="20"/>
        </w:rPr>
        <w:t xml:space="preserve"> Положения о комиссии по проведению конкурса инвестиционных проектов на территории Новосибирской области;</w:t>
      </w:r>
    </w:p>
    <w:p>
      <w:pPr>
        <w:pStyle w:val="0"/>
        <w:spacing w:before="200" w:line-rule="auto"/>
        <w:ind w:firstLine="540"/>
        <w:jc w:val="both"/>
      </w:pPr>
      <w:r>
        <w:rPr>
          <w:sz w:val="20"/>
        </w:rPr>
        <w:t xml:space="preserve">13) результат проведенной экспертизы.</w:t>
      </w:r>
    </w:p>
    <w:p>
      <w:pPr>
        <w:pStyle w:val="0"/>
        <w:spacing w:before="200" w:line-rule="auto"/>
        <w:ind w:firstLine="540"/>
        <w:jc w:val="both"/>
      </w:pPr>
      <w:r>
        <w:rPr>
          <w:sz w:val="20"/>
        </w:rPr>
        <w:t xml:space="preserve">7. Заключение министерства может содержать дополнительные сведения об инвестиционном проекте, помимо указанных в </w:t>
      </w:r>
      <w:hyperlink w:history="0" w:anchor="P935" w:tooltip="6. Заключение министерства представляет собой текстовый документ, составленный в произвольной форме и содержащий обязательные разделы:">
        <w:r>
          <w:rPr>
            <w:sz w:val="20"/>
            <w:color w:val="0000ff"/>
          </w:rPr>
          <w:t xml:space="preserve">пункте 6</w:t>
        </w:r>
      </w:hyperlink>
      <w:r>
        <w:rPr>
          <w:sz w:val="20"/>
        </w:rPr>
        <w:t xml:space="preserve"> настоящего Порядка, в том числе сведения о превышении заявляемых инвестором размеров государственной поддержки инвестиционной деятельности над размером бюджетных ассигнований и (или) лимитов налоговых льгот, определенных в государственной </w:t>
      </w:r>
      <w:hyperlink w:history="0" r:id="rId183" w:tooltip="Постановление Правительства Новосибирской области от 01.04.2015 N 126-п (ред. от 17.09.2024) &quot;О государственной программе Новосибирской области &quot;Стимулирование инвестиционной активности в Новосибирской области&quot; {КонсультантПлюс}">
        <w:r>
          <w:rPr>
            <w:sz w:val="20"/>
            <w:color w:val="0000ff"/>
          </w:rPr>
          <w:t xml:space="preserve">программе</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сведения из заключения министерства финансов и налоговой политики Новосибирской области по итогам анализа финансового состояния инвестора, осуществляемого в порядке, предусмотренном </w:t>
      </w:r>
      <w:hyperlink w:history="0" r:id="rId184" w:tooltip="Постановление Правительства Новосибирской области от 27.10.2020 N 447-п &quot;Об установлении Порядка определения при предоставлении государственной гарантии Новосибир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 и методики осуществления анализа и мониторинга финансового состояния пр {КонсультантПлюс}">
        <w:r>
          <w:rPr>
            <w:sz w:val="20"/>
            <w:color w:val="0000ff"/>
          </w:rPr>
          <w:t xml:space="preserve">постановлением</w:t>
        </w:r>
      </w:hyperlink>
      <w:r>
        <w:rPr>
          <w:sz w:val="20"/>
        </w:rPr>
        <w:t xml:space="preserve"> Правительства Новосибирской области от 27.10.2020 N 447-п "Об установлении Порядка определения при предоставлении государственной гарантии Новосибирской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 и методики осуществления анализа и мониторинга финансового состояния принципала" (в случае указания в заявлении инвестора на участие в конкурсе в качестве меры государственной поддержки инвестиционной деятельности предоставления государственной гарантии Новосибирской области).</w:t>
      </w:r>
    </w:p>
    <w:p>
      <w:pPr>
        <w:pStyle w:val="0"/>
        <w:jc w:val="both"/>
      </w:pPr>
      <w:r>
        <w:rPr>
          <w:sz w:val="20"/>
        </w:rPr>
        <w:t xml:space="preserve">(в ред. постановлений Правительства Новосибирской области от 22.06.2021 </w:t>
      </w:r>
      <w:hyperlink w:history="0" r:id="rId185"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rPr>
        <w:t xml:space="preserve">, от 28.03.2023 </w:t>
      </w:r>
      <w:hyperlink w:history="0" r:id="rId18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w:t>
      </w:r>
    </w:p>
    <w:p>
      <w:pPr>
        <w:pStyle w:val="0"/>
        <w:spacing w:before="200" w:line-rule="auto"/>
        <w:ind w:firstLine="540"/>
        <w:jc w:val="both"/>
      </w:pPr>
      <w:r>
        <w:rPr>
          <w:sz w:val="20"/>
        </w:rPr>
        <w:t xml:space="preserve">8. Экспертиза и подготовка заключения министерства осуществляется в срок не позднее 5 рабочих дней до даты заседания комиссии по проведению конкурса инвестиционных проектов на территории Новосибирской области (далее - комиссия). Заключение министерства готовится при отсутствии у министерства замечаний к документам инвестора и отправляется ему на следующий рабочий день после его составления.</w:t>
      </w:r>
    </w:p>
    <w:p>
      <w:pPr>
        <w:pStyle w:val="0"/>
        <w:jc w:val="both"/>
      </w:pPr>
      <w:r>
        <w:rPr>
          <w:sz w:val="20"/>
        </w:rPr>
        <w:t xml:space="preserve">(в ред. </w:t>
      </w:r>
      <w:hyperlink w:history="0" r:id="rId187"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9. Заключение областного исполнительного органа Новосибирской области, к сфере деятельности которого относится представленный на конкурс инвестиционный проект, представляет собой текстовый документ, составленный в произвольной форме и содержащий сведения об инвесторе, соответствии инвестиционного проекта требованиям законодательства, а также заключение о целесообразности реализации и государственной поддержки инвестиционного проекта.</w:t>
      </w:r>
    </w:p>
    <w:p>
      <w:pPr>
        <w:pStyle w:val="0"/>
        <w:jc w:val="both"/>
      </w:pPr>
      <w:r>
        <w:rPr>
          <w:sz w:val="20"/>
        </w:rPr>
        <w:t xml:space="preserve">(в ред. </w:t>
      </w:r>
      <w:hyperlink w:history="0" r:id="rId188"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10. Экспертиза, подготовка и передача заключения в министерство областными исполнительными органами Новосибирской области, к сфере деятельности которых относятся представленные на конкурс инвестиционные проекты, осуществляется в течение 5 рабочих дней со дня поступления соответствующего запроса от министерства в областной исполнительный орган Новосибирской области.</w:t>
      </w:r>
    </w:p>
    <w:p>
      <w:pPr>
        <w:pStyle w:val="0"/>
        <w:jc w:val="both"/>
      </w:pPr>
      <w:r>
        <w:rPr>
          <w:sz w:val="20"/>
        </w:rPr>
        <w:t xml:space="preserve">(в ред. </w:t>
      </w:r>
      <w:hyperlink w:history="0" r:id="rId189"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11. Заключение министерства подписывается министром экономического развития Новосибирской области.</w:t>
      </w:r>
    </w:p>
    <w:p>
      <w:pPr>
        <w:pStyle w:val="0"/>
        <w:spacing w:before="200" w:line-rule="auto"/>
        <w:ind w:firstLine="540"/>
        <w:jc w:val="both"/>
      </w:pPr>
      <w:r>
        <w:rPr>
          <w:sz w:val="20"/>
        </w:rPr>
        <w:t xml:space="preserve">12. Заключение областного исполнительного органа Новосибирской области, к сфере деятельности которого относится представленный на конкурс инвестиционный проект, подписывается руководителем областного исполнительного органа Новосибирской области или уполномоченным им должностным лицом.</w:t>
      </w:r>
    </w:p>
    <w:p>
      <w:pPr>
        <w:pStyle w:val="0"/>
        <w:jc w:val="both"/>
      </w:pPr>
      <w:r>
        <w:rPr>
          <w:sz w:val="20"/>
        </w:rPr>
        <w:t xml:space="preserve">(в ред. </w:t>
      </w:r>
      <w:hyperlink w:history="0" r:id="rId190"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13. Заключения министерства, областных исполнительных органов Новосибирской области, к сфере деятельности которых относятся представленные на конкурс инвестиционные проекты, носят рекомендательный характер.</w:t>
      </w:r>
    </w:p>
    <w:p>
      <w:pPr>
        <w:pStyle w:val="0"/>
        <w:jc w:val="both"/>
      </w:pPr>
      <w:r>
        <w:rPr>
          <w:sz w:val="20"/>
        </w:rPr>
        <w:t xml:space="preserve">(в ред. </w:t>
      </w:r>
      <w:hyperlink w:history="0" r:id="rId191"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14. Министерство в срок не позднее 5 рабочих дней до даты заседания комиссии направляет инвесторам повестку заседания комиссии.</w:t>
      </w:r>
    </w:p>
    <w:p>
      <w:pPr>
        <w:pStyle w:val="0"/>
        <w:jc w:val="both"/>
      </w:pPr>
      <w:r>
        <w:rPr>
          <w:sz w:val="20"/>
        </w:rPr>
        <w:t xml:space="preserve">(в ред. </w:t>
      </w:r>
      <w:hyperlink w:history="0" r:id="rId19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19.03.2014 N 104-п</w:t>
      </w:r>
    </w:p>
    <w:p>
      <w:pPr>
        <w:pStyle w:val="0"/>
        <w:ind w:firstLine="540"/>
        <w:jc w:val="both"/>
      </w:pPr>
      <w:r>
        <w:rPr>
          <w:sz w:val="20"/>
        </w:rPr>
      </w:r>
    </w:p>
    <w:bookmarkStart w:id="975" w:name="P975"/>
    <w:bookmarkEnd w:id="975"/>
    <w:p>
      <w:pPr>
        <w:pStyle w:val="2"/>
        <w:jc w:val="center"/>
      </w:pPr>
      <w:r>
        <w:rPr>
          <w:sz w:val="20"/>
        </w:rPr>
        <w:t xml:space="preserve">ПОРЯДОК</w:t>
      </w:r>
    </w:p>
    <w:p>
      <w:pPr>
        <w:pStyle w:val="2"/>
        <w:jc w:val="center"/>
      </w:pPr>
      <w:r>
        <w:rPr>
          <w:sz w:val="20"/>
        </w:rPr>
        <w:t xml:space="preserve">ОСУЩЕСТВЛЕНИЯ КОНТРОЛЯ ЗА ЭФФЕКТИВНОСТЬЮ МЕР ГОСУДАРСТВЕННОЙ</w:t>
      </w:r>
    </w:p>
    <w:p>
      <w:pPr>
        <w:pStyle w:val="2"/>
        <w:jc w:val="center"/>
      </w:pPr>
      <w:r>
        <w:rPr>
          <w:sz w:val="20"/>
        </w:rPr>
        <w:t xml:space="preserve">ПОДДЕРЖКИ ИНВЕСТИЦИОННОЙ ДЕЯТЕЛЬНОСТИ И ХОДОМ РЕАЛИЗАЦИИ</w:t>
      </w:r>
    </w:p>
    <w:p>
      <w:pPr>
        <w:pStyle w:val="2"/>
        <w:jc w:val="center"/>
      </w:pPr>
      <w:r>
        <w:rPr>
          <w:sz w:val="20"/>
        </w:rPr>
        <w:t xml:space="preserve">ИНВЕСТИЦИОННЫХ 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21.08.2019 </w:t>
            </w:r>
            <w:hyperlink w:history="0" r:id="rId193" w:tooltip="Постановление Правительства Новосибирской области от 21.08.2019 N 340-п &quot;О внесении изменений в постановление Правительства Новосибирской области от 19.03.2014 N 104-п&quot; {КонсультантПлюс}">
              <w:r>
                <w:rPr>
                  <w:sz w:val="20"/>
                  <w:color w:val="0000ff"/>
                </w:rPr>
                <w:t xml:space="preserve">N 340-п</w:t>
              </w:r>
            </w:hyperlink>
            <w:r>
              <w:rPr>
                <w:sz w:val="20"/>
                <w:color w:val="392c69"/>
              </w:rPr>
              <w:t xml:space="preserve">, от 18.05.2020 </w:t>
            </w:r>
            <w:hyperlink w:history="0" r:id="rId194"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N 172-п</w:t>
              </w:r>
            </w:hyperlink>
            <w:r>
              <w:rPr>
                <w:sz w:val="20"/>
                <w:color w:val="392c69"/>
              </w:rPr>
              <w:t xml:space="preserve">, от 22.06.2021 </w:t>
            </w:r>
            <w:hyperlink w:history="0" r:id="rId195"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28.03.2023 </w:t>
            </w:r>
            <w:hyperlink w:history="0" r:id="rId19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color w:val="392c69"/>
              </w:rPr>
              <w:t xml:space="preserve">, от 25.07.2023 </w:t>
            </w:r>
            <w:hyperlink w:history="0" r:id="rId19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 от 28.11.2023 </w:t>
            </w:r>
            <w:hyperlink w:history="0" r:id="rId198"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N 544-п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целях реализации </w:t>
      </w:r>
      <w:hyperlink w:history="0" r:id="rId19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 7 статьи 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(в ред. </w:t>
      </w:r>
      <w:hyperlink w:history="0" r:id="rId200"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постановления</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Абзац утратил силу. - </w:t>
      </w:r>
      <w:hyperlink w:history="0" r:id="rId20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2. Настоящий Порядок регламентирует:</w:t>
      </w:r>
    </w:p>
    <w:p>
      <w:pPr>
        <w:pStyle w:val="0"/>
        <w:spacing w:before="200" w:line-rule="auto"/>
        <w:ind w:firstLine="540"/>
        <w:jc w:val="both"/>
      </w:pPr>
      <w:r>
        <w:rPr>
          <w:sz w:val="20"/>
        </w:rPr>
        <w:t xml:space="preserve">1) сроки предоставления инвесторами, с которыми заключены </w:t>
      </w:r>
      <w:hyperlink w:history="0" r:id="rId202"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договоры</w:t>
        </w:r>
      </w:hyperlink>
      <w:r>
        <w:rPr>
          <w:sz w:val="20"/>
        </w:rPr>
        <w:t xml:space="preserve"> о предоставлении государственной поддержки инвестиционной деятельности (далее - инвесторы) в соответствии с типовой формой, утвержденной приказом министерства экономического развития Новосибирской области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 (далее - договор о предоставлении государственной поддержки), отчетов в соответствии с настоящим Порядком (далее - отчеты);</w:t>
      </w:r>
    </w:p>
    <w:p>
      <w:pPr>
        <w:pStyle w:val="0"/>
        <w:spacing w:before="200" w:line-rule="auto"/>
        <w:ind w:firstLine="540"/>
        <w:jc w:val="both"/>
      </w:pPr>
      <w:r>
        <w:rPr>
          <w:sz w:val="20"/>
        </w:rPr>
        <w:t xml:space="preserve">2) действия министерства экономического развития Новосибирской области (далее - министерство) по осуществлению контроля за эффективностью мер государственной поддержки инвестиционной деятельности, ходом реализации инвестиционных проектов инвесторов на территории Новосибирской области и составлению аналитического отчета о результатах предоставления государственной поддержки инвестиционной деятельности, предусмотренного </w:t>
      </w:r>
      <w:hyperlink w:history="0" r:id="rId20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статьей 15</w:t>
        </w:r>
      </w:hyperlink>
      <w:r>
        <w:rPr>
          <w:sz w:val="20"/>
        </w:rPr>
        <w:t xml:space="preserve"> Закона.</w:t>
      </w:r>
    </w:p>
    <w:p>
      <w:pPr>
        <w:pStyle w:val="0"/>
        <w:spacing w:before="200" w:line-rule="auto"/>
        <w:ind w:firstLine="540"/>
        <w:jc w:val="both"/>
      </w:pPr>
      <w:r>
        <w:rPr>
          <w:sz w:val="20"/>
        </w:rPr>
        <w:t xml:space="preserve">3. Инвесторы в соответствии с </w:t>
      </w:r>
      <w:hyperlink w:history="0" r:id="rId20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пунктом 6 статьи 16</w:t>
        </w:r>
      </w:hyperlink>
      <w:r>
        <w:rPr>
          <w:sz w:val="20"/>
        </w:rPr>
        <w:t xml:space="preserve"> Закона и договором о предоставлении государственной поддержки в течение периода достижения нормативного значения показателя бюджетной эффективности, рассчитываемого в соответствии с </w:t>
      </w:r>
      <w:hyperlink w:history="0" r:id="rId205"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постановлением</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представляют в министерство годовые отчеты о реализации инвестиционного проекта, отчеты за 1 квартал, 1 полугодие и 9 месяцев текущего года.</w:t>
      </w:r>
    </w:p>
    <w:p>
      <w:pPr>
        <w:pStyle w:val="0"/>
        <w:spacing w:before="200" w:line-rule="auto"/>
        <w:ind w:firstLine="540"/>
        <w:jc w:val="both"/>
      </w:pPr>
      <w:r>
        <w:rPr>
          <w:sz w:val="20"/>
        </w:rPr>
        <w:t xml:space="preserve">4. В состав годового отчета о реализации инвестиционного проекта входят следующие документы:</w:t>
      </w:r>
    </w:p>
    <w:p>
      <w:pPr>
        <w:pStyle w:val="0"/>
        <w:spacing w:before="200" w:line-rule="auto"/>
        <w:ind w:firstLine="540"/>
        <w:jc w:val="both"/>
      </w:pPr>
      <w:r>
        <w:rPr>
          <w:sz w:val="20"/>
        </w:rPr>
        <w:t xml:space="preserve">1) фактические финансово-экономические показатели (далее - ФЭП) проекта по форме, установленной в </w:t>
      </w:r>
      <w:hyperlink w:history="0" w:anchor="P1047" w:tooltip="          Фактические финансово-экономические показатели проекта">
        <w:r>
          <w:rPr>
            <w:sz w:val="20"/>
            <w:color w:val="0000ff"/>
          </w:rPr>
          <w:t xml:space="preserve">приложении N 1</w:t>
        </w:r>
      </w:hyperlink>
      <w:r>
        <w:rPr>
          <w:sz w:val="20"/>
        </w:rPr>
        <w:t xml:space="preserve"> к настоящему Порядку, заполненные в соответствии с Методическими </w:t>
      </w:r>
      <w:hyperlink w:history="0" w:anchor="P1622" w:tooltip="МЕТОДИЧЕСКИЕ РЕКОМЕНДАЦИИ">
        <w:r>
          <w:rPr>
            <w:sz w:val="20"/>
            <w:color w:val="0000ff"/>
          </w:rPr>
          <w:t xml:space="preserve">рекомендациями</w:t>
        </w:r>
      </w:hyperlink>
      <w:r>
        <w:rPr>
          <w:sz w:val="20"/>
        </w:rPr>
        <w:t xml:space="preserve"> по заполнению формы (приложение N 2 к настоящему Порядку), подписанные руководителем предприятия (индивидуальным предпринимателем) и заверенные печатью (для юридических лиц - при наличии печати);</w:t>
      </w:r>
    </w:p>
    <w:p>
      <w:pPr>
        <w:pStyle w:val="0"/>
        <w:spacing w:before="200" w:line-rule="auto"/>
        <w:ind w:firstLine="540"/>
        <w:jc w:val="both"/>
      </w:pPr>
      <w:r>
        <w:rPr>
          <w:sz w:val="20"/>
        </w:rPr>
        <w:t xml:space="preserve">2) пояснительная записка о ходе реализации инвестиционного проекта;</w:t>
      </w:r>
    </w:p>
    <w:p>
      <w:pPr>
        <w:pStyle w:val="0"/>
        <w:spacing w:before="200" w:line-rule="auto"/>
        <w:ind w:firstLine="540"/>
        <w:jc w:val="both"/>
      </w:pPr>
      <w:r>
        <w:rPr>
          <w:sz w:val="20"/>
        </w:rPr>
        <w:t xml:space="preserve">3) уведомление об отсутствии просроченной задолженности по выплате заработной платы, с указанием даты, на которую представляется информация;</w:t>
      </w:r>
    </w:p>
    <w:p>
      <w:pPr>
        <w:pStyle w:val="0"/>
        <w:spacing w:before="200" w:line-rule="auto"/>
        <w:ind w:firstLine="540"/>
        <w:jc w:val="both"/>
      </w:pPr>
      <w:r>
        <w:rPr>
          <w:sz w:val="20"/>
        </w:rPr>
        <w:t xml:space="preserve">4) копия книги учета доходов и расходов и хозяйственных операций индивидуального предпринимателя, отражающей операции за отчетный год (для индивидуальных предпринимателей);</w:t>
      </w:r>
    </w:p>
    <w:p>
      <w:pPr>
        <w:pStyle w:val="0"/>
        <w:spacing w:before="200" w:line-rule="auto"/>
        <w:ind w:firstLine="540"/>
        <w:jc w:val="both"/>
      </w:pPr>
      <w:r>
        <w:rPr>
          <w:sz w:val="20"/>
        </w:rPr>
        <w:t xml:space="preserve">5)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отчетный год с отметкой налогового органа (для юридических лиц);</w:t>
      </w:r>
    </w:p>
    <w:p>
      <w:pPr>
        <w:pStyle w:val="0"/>
        <w:spacing w:before="200" w:line-rule="auto"/>
        <w:ind w:firstLine="540"/>
        <w:jc w:val="both"/>
      </w:pPr>
      <w:r>
        <w:rPr>
          <w:sz w:val="20"/>
        </w:rPr>
        <w:t xml:space="preserve">6) копии налоговой декларации по налогу на прибыль организаций и налоговой декларации по налогу на имущество организаций за отчетный год с отметкой налогового органа (для юридических лиц) или налоговой декларации по налогу на доходы физических лиц (форма по КНД 1151020) за отчетный год (для индивидуальных предпринимателей);</w:t>
      </w:r>
    </w:p>
    <w:bookmarkStart w:id="998" w:name="P998"/>
    <w:bookmarkEnd w:id="998"/>
    <w:p>
      <w:pPr>
        <w:pStyle w:val="0"/>
        <w:spacing w:before="200" w:line-rule="auto"/>
        <w:ind w:firstLine="540"/>
        <w:jc w:val="both"/>
      </w:pPr>
      <w:r>
        <w:rPr>
          <w:sz w:val="20"/>
        </w:rPr>
        <w:t xml:space="preserve">7)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представление годового отчета.</w:t>
      </w:r>
    </w:p>
    <w:p>
      <w:pPr>
        <w:pStyle w:val="0"/>
        <w:jc w:val="both"/>
      </w:pPr>
      <w:r>
        <w:rPr>
          <w:sz w:val="20"/>
        </w:rPr>
        <w:t xml:space="preserve">(в ред. постановлений Правительства Новосибирской области от 28.03.2023 </w:t>
      </w:r>
      <w:hyperlink w:history="0" r:id="rId206"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 от 25.07.2023 </w:t>
      </w:r>
      <w:hyperlink w:history="0" r:id="rId20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Абзац утратил силу. - </w:t>
      </w:r>
      <w:hyperlink w:history="0" r:id="rId208"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w:t>
        </w:r>
      </w:hyperlink>
      <w:r>
        <w:rPr>
          <w:sz w:val="20"/>
        </w:rPr>
        <w:t xml:space="preserve"> Правительства Новосибирской области от 22.06.2021 N 232-п.</w:t>
      </w:r>
    </w:p>
    <w:p>
      <w:pPr>
        <w:pStyle w:val="0"/>
        <w:spacing w:before="200" w:line-rule="auto"/>
        <w:ind w:firstLine="540"/>
        <w:jc w:val="both"/>
      </w:pPr>
      <w:r>
        <w:rPr>
          <w:sz w:val="20"/>
        </w:rPr>
        <w:t xml:space="preserve">4.1. В случае если документы, предусмотренные </w:t>
      </w:r>
      <w:hyperlink w:history="0" w:anchor="P998" w:tooltip="7)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редставление годового отчета.">
        <w:r>
          <w:rPr>
            <w:sz w:val="20"/>
            <w:color w:val="0000ff"/>
          </w:rPr>
          <w:t xml:space="preserve">подпунктом 7 пункта 4</w:t>
        </w:r>
      </w:hyperlink>
      <w:r>
        <w:rPr>
          <w:sz w:val="20"/>
        </w:rP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pPr>
        <w:pStyle w:val="0"/>
        <w:jc w:val="both"/>
      </w:pPr>
      <w:r>
        <w:rPr>
          <w:sz w:val="20"/>
        </w:rPr>
        <w:t xml:space="preserve">(п. 4.1 введен </w:t>
      </w:r>
      <w:hyperlink w:history="0" r:id="rId209" w:tooltip="Постановление Правительства Новосибирской области от 22.06.2021 N 232-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22.06.2021 N 232-п)</w:t>
      </w:r>
    </w:p>
    <w:p>
      <w:pPr>
        <w:pStyle w:val="0"/>
        <w:spacing w:before="200" w:line-rule="auto"/>
        <w:ind w:firstLine="540"/>
        <w:jc w:val="both"/>
      </w:pPr>
      <w:r>
        <w:rPr>
          <w:sz w:val="20"/>
        </w:rPr>
        <w:t xml:space="preserve">4.2. В случае предоставления инвестору государственной поддержки в форме субсидии, в состав годового отчета включается отчет о достижении значений результатов предоставления субсидии и характеристик (при установлении характеристик) по форме, определенной типовой формой соглашения, установленной </w:t>
      </w:r>
      <w:hyperlink w:history="0" r:id="rId210"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w:t>
      </w:r>
    </w:p>
    <w:p>
      <w:pPr>
        <w:pStyle w:val="0"/>
        <w:jc w:val="both"/>
      </w:pPr>
      <w:r>
        <w:rPr>
          <w:sz w:val="20"/>
        </w:rPr>
        <w:t xml:space="preserve">(п. 4.2 введен </w:t>
      </w:r>
      <w:hyperlink w:history="0" r:id="rId211"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28.03.2023 N 127-п)</w:t>
      </w:r>
    </w:p>
    <w:p>
      <w:pPr>
        <w:pStyle w:val="0"/>
        <w:spacing w:before="200" w:line-rule="auto"/>
        <w:ind w:firstLine="540"/>
        <w:jc w:val="both"/>
      </w:pPr>
      <w:r>
        <w:rPr>
          <w:sz w:val="20"/>
        </w:rPr>
        <w:t xml:space="preserve">5. В состав отчета за 1 квартал, 1 полугодие, 9 месяцев текущего года входят следующие документы:</w:t>
      </w:r>
    </w:p>
    <w:p>
      <w:pPr>
        <w:pStyle w:val="0"/>
        <w:spacing w:before="200" w:line-rule="auto"/>
        <w:ind w:firstLine="540"/>
        <w:jc w:val="both"/>
      </w:pPr>
      <w:r>
        <w:rPr>
          <w:sz w:val="20"/>
        </w:rPr>
        <w:t xml:space="preserve">1) фактические ФЭП проекта по форме согласно </w:t>
      </w:r>
      <w:hyperlink w:history="0" w:anchor="P1047" w:tooltip="          Фактические финансово-экономические показатели проекта">
        <w:r>
          <w:rPr>
            <w:sz w:val="20"/>
            <w:color w:val="0000ff"/>
          </w:rPr>
          <w:t xml:space="preserve">приложению N 1</w:t>
        </w:r>
      </w:hyperlink>
      <w:r>
        <w:rPr>
          <w:sz w:val="20"/>
        </w:rPr>
        <w:t xml:space="preserve"> к настоящему Порядку, заполненные в соответствии с Методическими </w:t>
      </w:r>
      <w:hyperlink w:history="0" w:anchor="P1622" w:tooltip="МЕТОДИЧЕСКИЕ РЕКОМЕНДАЦИИ">
        <w:r>
          <w:rPr>
            <w:sz w:val="20"/>
            <w:color w:val="0000ff"/>
          </w:rPr>
          <w:t xml:space="preserve">рекомендациями</w:t>
        </w:r>
      </w:hyperlink>
      <w:r>
        <w:rPr>
          <w:sz w:val="20"/>
        </w:rPr>
        <w:t xml:space="preserve"> по заполнению формы (приложение N 2 к настоящему Порядку), подписанные руководителем предприятия (индивидуальным предпринимателем) и заверенные печатью (для юридических лиц - при наличии печати);</w:t>
      </w:r>
    </w:p>
    <w:p>
      <w:pPr>
        <w:pStyle w:val="0"/>
        <w:spacing w:before="200" w:line-rule="auto"/>
        <w:ind w:firstLine="540"/>
        <w:jc w:val="both"/>
      </w:pPr>
      <w:r>
        <w:rPr>
          <w:sz w:val="20"/>
        </w:rPr>
        <w:t xml:space="preserve">2) пояснительная записка о ходе реализации инвестиционного проекта;</w:t>
      </w:r>
    </w:p>
    <w:p>
      <w:pPr>
        <w:pStyle w:val="0"/>
        <w:spacing w:before="200" w:line-rule="auto"/>
        <w:ind w:firstLine="540"/>
        <w:jc w:val="both"/>
      </w:pPr>
      <w:r>
        <w:rPr>
          <w:sz w:val="20"/>
        </w:rPr>
        <w:t xml:space="preserve">3) уведомление об отсутствии просроченной задолженности по выплате заработной платы, с указанием даты, на которую представляется информация;</w:t>
      </w:r>
    </w:p>
    <w:p>
      <w:pPr>
        <w:pStyle w:val="0"/>
        <w:spacing w:before="200" w:line-rule="auto"/>
        <w:ind w:firstLine="540"/>
        <w:jc w:val="both"/>
      </w:pPr>
      <w:r>
        <w:rPr>
          <w:sz w:val="20"/>
        </w:rPr>
        <w:t xml:space="preserve">4)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представление отчета.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pPr>
        <w:pStyle w:val="0"/>
        <w:jc w:val="both"/>
      </w:pPr>
      <w:r>
        <w:rPr>
          <w:sz w:val="20"/>
        </w:rPr>
        <w:t xml:space="preserve">(в ред. постановлений Правительства Новосибирской области от 28.03.2023 </w:t>
      </w:r>
      <w:hyperlink w:history="0" r:id="rId212" w:tooltip="Постановление Правительства Новосибирской области от 28.03.2023 N 127-п &quot;О внесении изменений в постановление Правительства Новосибирской области от 19.03.2014 N 104-п&quot; {КонсультантПлюс}">
        <w:r>
          <w:rPr>
            <w:sz w:val="20"/>
            <w:color w:val="0000ff"/>
          </w:rPr>
          <w:t xml:space="preserve">N 127-п</w:t>
        </w:r>
      </w:hyperlink>
      <w:r>
        <w:rPr>
          <w:sz w:val="20"/>
        </w:rPr>
        <w:t xml:space="preserve">, от 25.07.2023 </w:t>
      </w:r>
      <w:hyperlink w:history="0" r:id="rId213"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bookmarkStart w:id="1011" w:name="P1011"/>
    <w:bookmarkEnd w:id="1011"/>
    <w:p>
      <w:pPr>
        <w:pStyle w:val="0"/>
        <w:spacing w:before="200" w:line-rule="auto"/>
        <w:ind w:firstLine="540"/>
        <w:jc w:val="both"/>
      </w:pPr>
      <w:r>
        <w:rPr>
          <w:sz w:val="20"/>
        </w:rPr>
        <w:t xml:space="preserve">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w:t>
      </w:r>
    </w:p>
    <w:p>
      <w:pPr>
        <w:pStyle w:val="0"/>
        <w:spacing w:before="200" w:line-rule="auto"/>
        <w:ind w:firstLine="540"/>
        <w:jc w:val="both"/>
      </w:pPr>
      <w:r>
        <w:rPr>
          <w:sz w:val="20"/>
        </w:rPr>
        <w:t xml:space="preserve">В случае непредставления инвестором в министерство отчета за 1 квартал, или 1 полугодие, или 9 месяцев в установленный </w:t>
      </w:r>
      <w:hyperlink w:history="0" w:anchor="P1011" w:tooltip="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
        <w:r>
          <w:rPr>
            <w:sz w:val="20"/>
            <w:color w:val="0000ff"/>
          </w:rPr>
          <w:t xml:space="preserve">абзацем первым</w:t>
        </w:r>
      </w:hyperlink>
      <w:r>
        <w:rPr>
          <w:sz w:val="20"/>
        </w:rPr>
        <w:t xml:space="preserve"> настоящего пункта срок, предусмотренный для представления такого отчета, министерство направляет инвестору в срок не позднее трех рабочих дней с даты, определенной в абзаце первом настоящего пункта для представления отчета за 1 квартал, 1 полугодие, 9 месяцев, уведомление, которое содержит указание на недопустимость нарушения срока представления отчета, а также на необходимость представить отчет в министерство в срок не позднее пяти рабочих дней с даты получения данного уведомления (далее - уведомление о недопустимости нарушения). При повторном нарушении в течение отчетного года инвестором срока представления отчета, предусмотренного настоящим абзацем, министерство формирует предложение о рассмотрении на комиссии по проведению конкурса инвестиционных проектов вопроса о приостановлении государственной поддержки.</w:t>
      </w:r>
    </w:p>
    <w:p>
      <w:pPr>
        <w:pStyle w:val="0"/>
        <w:jc w:val="both"/>
      </w:pPr>
      <w:r>
        <w:rPr>
          <w:sz w:val="20"/>
        </w:rPr>
        <w:t xml:space="preserve">(абзац введен </w:t>
      </w:r>
      <w:hyperlink w:history="0" r:id="rId214"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В случае непредставления инвестором в министерство годового отчета о реализации инвестиционного проекта в установленный </w:t>
      </w:r>
      <w:hyperlink w:history="0" w:anchor="P1011" w:tooltip="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
        <w:r>
          <w:rPr>
            <w:sz w:val="20"/>
            <w:color w:val="0000ff"/>
          </w:rPr>
          <w:t xml:space="preserve">абзацем первым</w:t>
        </w:r>
      </w:hyperlink>
      <w:r>
        <w:rPr>
          <w:sz w:val="20"/>
        </w:rPr>
        <w:t xml:space="preserve"> настоящего пункта срок, предусмотренный для представления годового отчета, министерство направляет инвестору уведомление о недопустимости нарушения в срок не позднее трех рабочих дней с даты, определенной в абзаце первом настоящего пункта для представления годового отчета. В случае непредставления инвестором годового отчета о реализации инвестиционного проекта в срок, указанный в уведомлении о недопустимости нарушения, министерство формирует предложение о рассмотрении на комиссии по проведению конкурса инвестиционных проектов вопроса о приостановлении государственной поддержки.</w:t>
      </w:r>
    </w:p>
    <w:p>
      <w:pPr>
        <w:pStyle w:val="0"/>
        <w:jc w:val="both"/>
      </w:pPr>
      <w:r>
        <w:rPr>
          <w:sz w:val="20"/>
        </w:rPr>
        <w:t xml:space="preserve">(абзац введен </w:t>
      </w:r>
      <w:hyperlink w:history="0" r:id="rId215" w:tooltip="Постановление Правительства Новосибирской области от 28.11.2023 N 544-п &quot;О внесении изменений в постановление Правительства Новосибирской области от 19.03.2014 N 104-п&quot; {КонсультантПлюс}">
        <w:r>
          <w:rPr>
            <w:sz w:val="20"/>
            <w:color w:val="0000ff"/>
          </w:rPr>
          <w:t xml:space="preserve">постановлением</w:t>
        </w:r>
      </w:hyperlink>
      <w:r>
        <w:rPr>
          <w:sz w:val="20"/>
        </w:rPr>
        <w:t xml:space="preserve"> Правительства Новосибирской области от 28.11.2023 N 544-п)</w:t>
      </w:r>
    </w:p>
    <w:p>
      <w:pPr>
        <w:pStyle w:val="0"/>
        <w:spacing w:before="200" w:line-rule="auto"/>
        <w:ind w:firstLine="540"/>
        <w:jc w:val="both"/>
      </w:pPr>
      <w:r>
        <w:rPr>
          <w:sz w:val="20"/>
        </w:rPr>
        <w:t xml:space="preserve">7. Фактические ФЭП проекта дополнительно представляются в электронном виде в формате электронных таблиц на адрес электронной почты министерства mineconom@nso.ru в сроки, указанные в </w:t>
      </w:r>
      <w:hyperlink w:history="0" w:anchor="P1011" w:tooltip="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8. Пояснительная записка о ходе реализации инвестиционного проекта в составе годового отчета должна включать:</w:t>
      </w:r>
    </w:p>
    <w:p>
      <w:pPr>
        <w:pStyle w:val="0"/>
        <w:spacing w:before="200" w:line-rule="auto"/>
        <w:ind w:firstLine="540"/>
        <w:jc w:val="both"/>
      </w:pPr>
      <w:r>
        <w:rPr>
          <w:sz w:val="20"/>
        </w:rPr>
        <w:t xml:space="preserve">1) сведения о ходе реализации инвестиционного проекта, в том числе дату завершения инвестиционной фазы инвестиционного проекта;</w:t>
      </w:r>
    </w:p>
    <w:p>
      <w:pPr>
        <w:pStyle w:val="0"/>
        <w:spacing w:before="200" w:line-rule="auto"/>
        <w:ind w:firstLine="540"/>
        <w:jc w:val="both"/>
      </w:pPr>
      <w:r>
        <w:rPr>
          <w:sz w:val="20"/>
        </w:rPr>
        <w:t xml:space="preserve">2) в случае невыполнения плановых показателей по инвестиционным затратам, количеству создаваемых новых рабочих мест, объему налоговых платежей в консолидированный бюджет Новосибирской области более чем на 10% - сведения о причинах невыполнения плановых показателей;</w:t>
      </w:r>
    </w:p>
    <w:p>
      <w:pPr>
        <w:pStyle w:val="0"/>
        <w:spacing w:before="200" w:line-rule="auto"/>
        <w:ind w:firstLine="540"/>
        <w:jc w:val="both"/>
      </w:pPr>
      <w:r>
        <w:rPr>
          <w:sz w:val="20"/>
        </w:rPr>
        <w:t xml:space="preserve">3) в случае отражения затрат в </w:t>
      </w:r>
      <w:hyperlink w:history="0" w:anchor="P1106" w:tooltip="1.2.1.3">
        <w:r>
          <w:rPr>
            <w:sz w:val="20"/>
            <w:color w:val="0000ff"/>
          </w:rPr>
          <w:t xml:space="preserve">пункте 1.2.1.3</w:t>
        </w:r>
      </w:hyperlink>
      <w:r>
        <w:rPr>
          <w:sz w:val="20"/>
        </w:rPr>
        <w:t xml:space="preserve"> формы "Фактические финансово-экономические показатели проекта" (приложение N 1 к настоящему Порядку) - расшифровку затрат и пояснения;</w:t>
      </w:r>
    </w:p>
    <w:p>
      <w:pPr>
        <w:pStyle w:val="0"/>
        <w:jc w:val="both"/>
      </w:pPr>
      <w:r>
        <w:rPr>
          <w:sz w:val="20"/>
        </w:rPr>
        <w:t xml:space="preserve">(в ред. </w:t>
      </w:r>
      <w:hyperlink w:history="0" r:id="rId216" w:tooltip="Постановление Правительства Новосибирской области от 18.05.2020 N 172-п &quot;О внесении изменений в постановление Правительства Новосибирской области от 19.03.2014 N 104-п и признании утратившим силу постановления Правительства Новосибирской области от 18.04.2017 N 148-п&quot; {КонсультантПлюс}">
        <w:r>
          <w:rPr>
            <w:sz w:val="20"/>
            <w:color w:val="0000ff"/>
          </w:rPr>
          <w:t xml:space="preserve">постановления</w:t>
        </w:r>
      </w:hyperlink>
      <w:r>
        <w:rPr>
          <w:sz w:val="20"/>
        </w:rPr>
        <w:t xml:space="preserve"> Правительства Новосибирской области от 18.05.2020 N 172-п)</w:t>
      </w:r>
    </w:p>
    <w:p>
      <w:pPr>
        <w:pStyle w:val="0"/>
        <w:spacing w:before="200" w:line-rule="auto"/>
        <w:ind w:firstLine="540"/>
        <w:jc w:val="both"/>
      </w:pPr>
      <w:r>
        <w:rPr>
          <w:sz w:val="20"/>
        </w:rPr>
        <w:t xml:space="preserve">4) в случае отражения значений государственной поддержки в </w:t>
      </w:r>
      <w:hyperlink w:history="0" w:anchor="P1360" w:tooltip="8.1">
        <w:r>
          <w:rPr>
            <w:sz w:val="20"/>
            <w:color w:val="0000ff"/>
          </w:rPr>
          <w:t xml:space="preserve">пунктах 8.1</w:t>
        </w:r>
      </w:hyperlink>
      <w:r>
        <w:rPr>
          <w:sz w:val="20"/>
        </w:rPr>
        <w:t xml:space="preserve">, </w:t>
      </w:r>
      <w:hyperlink w:history="0" w:anchor="P1432" w:tooltip="8.3">
        <w:r>
          <w:rPr>
            <w:sz w:val="20"/>
            <w:color w:val="0000ff"/>
          </w:rPr>
          <w:t xml:space="preserve">8.3</w:t>
        </w:r>
      </w:hyperlink>
      <w:r>
        <w:rPr>
          <w:sz w:val="20"/>
        </w:rPr>
        <w:t xml:space="preserve"> формы "Фактические финансово-экономические показатели проекта" (приложение N 1 к настоящему Порядку) - сведения об объемах, сроках и правовых основаниях получения государственной поддержки;</w:t>
      </w:r>
    </w:p>
    <w:p>
      <w:pPr>
        <w:pStyle w:val="0"/>
        <w:spacing w:before="200" w:line-rule="auto"/>
        <w:ind w:firstLine="540"/>
        <w:jc w:val="both"/>
      </w:pPr>
      <w:r>
        <w:rPr>
          <w:sz w:val="20"/>
        </w:rPr>
        <w:t xml:space="preserve">5) в случае отражения налогов в </w:t>
      </w:r>
      <w:hyperlink w:history="0" w:anchor="P1530" w:tooltip="9.2.9">
        <w:r>
          <w:rPr>
            <w:sz w:val="20"/>
            <w:color w:val="0000ff"/>
          </w:rPr>
          <w:t xml:space="preserve">пункте 9.2.9</w:t>
        </w:r>
      </w:hyperlink>
      <w:r>
        <w:rPr>
          <w:sz w:val="20"/>
        </w:rPr>
        <w:t xml:space="preserve"> формы "Фактические финансово-экономические показатели проекта" (приложение N 1 к настоящему Порядку) - расшифровку налогов по видам.</w:t>
      </w:r>
    </w:p>
    <w:p>
      <w:pPr>
        <w:pStyle w:val="0"/>
        <w:spacing w:before="200" w:line-rule="auto"/>
        <w:ind w:firstLine="540"/>
        <w:jc w:val="both"/>
      </w:pPr>
      <w:r>
        <w:rPr>
          <w:sz w:val="20"/>
        </w:rPr>
        <w:t xml:space="preserve">9. Министерство осуществляет следующие функции:</w:t>
      </w:r>
    </w:p>
    <w:p>
      <w:pPr>
        <w:pStyle w:val="0"/>
        <w:spacing w:before="200" w:line-rule="auto"/>
        <w:ind w:firstLine="540"/>
        <w:jc w:val="both"/>
      </w:pPr>
      <w:r>
        <w:rPr>
          <w:sz w:val="20"/>
        </w:rPr>
        <w:t xml:space="preserve">1) принимает от инвесторов отчеты;</w:t>
      </w:r>
    </w:p>
    <w:p>
      <w:pPr>
        <w:pStyle w:val="0"/>
        <w:spacing w:before="200" w:line-rule="auto"/>
        <w:ind w:firstLine="540"/>
        <w:jc w:val="both"/>
      </w:pPr>
      <w:r>
        <w:rPr>
          <w:sz w:val="20"/>
        </w:rPr>
        <w:t xml:space="preserve">2) анализирует отчеты на соответствие фактических результатов реализации инвестиционных проектов плановым ФЭП проекта;</w:t>
      </w:r>
    </w:p>
    <w:p>
      <w:pPr>
        <w:pStyle w:val="0"/>
        <w:spacing w:before="200" w:line-rule="auto"/>
        <w:ind w:firstLine="540"/>
        <w:jc w:val="both"/>
      </w:pPr>
      <w:r>
        <w:rPr>
          <w:sz w:val="20"/>
        </w:rPr>
        <w:t xml:space="preserve">3) при невыполнении инвестором условий, определенных договором о предоставлении государственной поддержки, формирует предложения о рассмотрении вопроса на комиссии по проведению конкурса инвестиционных проектов;</w:t>
      </w:r>
    </w:p>
    <w:p>
      <w:pPr>
        <w:pStyle w:val="0"/>
        <w:spacing w:before="200" w:line-rule="auto"/>
        <w:ind w:firstLine="540"/>
        <w:jc w:val="both"/>
      </w:pPr>
      <w:r>
        <w:rPr>
          <w:sz w:val="20"/>
        </w:rPr>
        <w:t xml:space="preserve">4) составляет аналитический отчет о результатах предоставления государственной поддержки инвестиционной деятельности по итогам финансового года инвесторам и направляет в Законодательное Собрание Новосибирской области в сроки, указанные в </w:t>
      </w:r>
      <w:hyperlink w:history="0" r:id="rId21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статье 15</w:t>
        </w:r>
      </w:hyperlink>
      <w:r>
        <w:rPr>
          <w:sz w:val="20"/>
        </w:rPr>
        <w:t xml:space="preserve"> Закона;</w:t>
      </w:r>
    </w:p>
    <w:p>
      <w:pPr>
        <w:pStyle w:val="0"/>
        <w:spacing w:before="200" w:line-rule="auto"/>
        <w:ind w:firstLine="540"/>
        <w:jc w:val="both"/>
      </w:pPr>
      <w:r>
        <w:rPr>
          <w:sz w:val="20"/>
        </w:rPr>
        <w:t xml:space="preserve">5) в пределах установленных полномочий осуществляет виды контроля, предусмотренные Бюджетным </w:t>
      </w:r>
      <w:hyperlink w:history="0" r:id="rId2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bookmarkStart w:id="1030" w:name="P1030"/>
    <w:bookmarkEnd w:id="1030"/>
    <w:p>
      <w:pPr>
        <w:pStyle w:val="0"/>
        <w:spacing w:before="200" w:line-rule="auto"/>
        <w:ind w:firstLine="540"/>
        <w:jc w:val="both"/>
      </w:pPr>
      <w:r>
        <w:rPr>
          <w:sz w:val="20"/>
        </w:rPr>
        <w:t xml:space="preserve">10. В случае наличия замечаний к отчетам инвесторов министерство в течение 20 рабочих дней с даты представления отчетности направляет инвестору соответствующее уведомление о необходимости представить уточненную отчетность.</w:t>
      </w:r>
    </w:p>
    <w:p>
      <w:pPr>
        <w:pStyle w:val="0"/>
        <w:spacing w:before="200" w:line-rule="auto"/>
        <w:ind w:firstLine="540"/>
        <w:jc w:val="both"/>
      </w:pPr>
      <w:r>
        <w:rPr>
          <w:sz w:val="20"/>
        </w:rPr>
        <w:t xml:space="preserve">11. Инвестор представляет в министерство уточненную отчетность в течение 5 рабочих дней с даты получения уведомления министерства, предусмотренного </w:t>
      </w:r>
      <w:hyperlink w:history="0" w:anchor="P1030" w:tooltip="10. В случае наличия замечаний к отчетам инвесторов министерство в течение 20 рабочих дней с даты представления отчетности направляет инвестору соответствующее уведомление о необходимости представить уточненную отчетность.">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12. Непредставление в установленные настоящим Порядком сроки или представление в министерство ложных и недостоверных сведений в составе отчетов или отказ инвестора от заключения договора о предоставлении государственной поддержки является основанием для приостановления государственной поддержки инвесторам в соответствии с </w:t>
      </w:r>
      <w:hyperlink w:history="0" r:id="rId21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1 статьи 8</w:t>
        </w:r>
      </w:hyperlink>
      <w:r>
        <w:rPr>
          <w:sz w:val="20"/>
        </w:rPr>
        <w:t xml:space="preserve"> Закона.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осуществления контроля за</w:t>
      </w:r>
    </w:p>
    <w:p>
      <w:pPr>
        <w:pStyle w:val="0"/>
        <w:jc w:val="right"/>
      </w:pPr>
      <w:r>
        <w:rPr>
          <w:sz w:val="20"/>
        </w:rPr>
        <w:t xml:space="preserve">эффективностью мер государственной</w:t>
      </w:r>
    </w:p>
    <w:p>
      <w:pPr>
        <w:pStyle w:val="0"/>
        <w:jc w:val="right"/>
      </w:pPr>
      <w:r>
        <w:rPr>
          <w:sz w:val="20"/>
        </w:rPr>
        <w:t xml:space="preserve">поддержки инвестиционной деятельности</w:t>
      </w:r>
    </w:p>
    <w:p>
      <w:pPr>
        <w:pStyle w:val="0"/>
        <w:jc w:val="right"/>
      </w:pPr>
      <w:r>
        <w:rPr>
          <w:sz w:val="20"/>
        </w:rPr>
        <w:t xml:space="preserve">и ходом реализации инвестиционных</w:t>
      </w:r>
    </w:p>
    <w:p>
      <w:pPr>
        <w:pStyle w:val="0"/>
        <w:jc w:val="right"/>
      </w:pPr>
      <w:r>
        <w:rPr>
          <w:sz w:val="20"/>
        </w:rPr>
        <w:t xml:space="preserve">проектов на территории</w:t>
      </w:r>
    </w:p>
    <w:p>
      <w:pPr>
        <w:pStyle w:val="0"/>
        <w:jc w:val="right"/>
      </w:pPr>
      <w:r>
        <w:rPr>
          <w:sz w:val="20"/>
        </w:rPr>
        <w:t xml:space="preserve">Новосибирской области</w:t>
      </w:r>
    </w:p>
    <w:p>
      <w:pPr>
        <w:pStyle w:val="0"/>
        <w:ind w:firstLine="540"/>
        <w:jc w:val="both"/>
      </w:pPr>
      <w:r>
        <w:rPr>
          <w:sz w:val="20"/>
        </w:rPr>
      </w:r>
    </w:p>
    <w:bookmarkStart w:id="1047" w:name="P1047"/>
    <w:bookmarkEnd w:id="1047"/>
    <w:p>
      <w:pPr>
        <w:pStyle w:val="1"/>
        <w:jc w:val="both"/>
      </w:pPr>
      <w:r>
        <w:rPr>
          <w:sz w:val="20"/>
        </w:rPr>
        <w:t xml:space="preserve">          Фактические финансово-экономические показатели проекта</w:t>
      </w:r>
    </w:p>
    <w:p>
      <w:pPr>
        <w:pStyle w:val="1"/>
        <w:jc w:val="both"/>
      </w:pPr>
      <w:r>
        <w:rPr>
          <w:sz w:val="20"/>
        </w:rPr>
      </w:r>
    </w:p>
    <w:p>
      <w:pPr>
        <w:pStyle w:val="1"/>
        <w:jc w:val="both"/>
      </w:pPr>
      <w:r>
        <w:rPr>
          <w:sz w:val="20"/>
        </w:rPr>
        <w:t xml:space="preserve">Наименование инвестиционного проекта ______________________________________</w:t>
      </w:r>
    </w:p>
    <w:p>
      <w:pPr>
        <w:pStyle w:val="1"/>
        <w:jc w:val="both"/>
      </w:pPr>
      <w:r>
        <w:rPr>
          <w:sz w:val="20"/>
        </w:rPr>
        <w:t xml:space="preserve">Наименование инвестора ____________________________________________________</w:t>
      </w:r>
    </w:p>
    <w:p>
      <w:pPr>
        <w:pStyle w:val="1"/>
        <w:jc w:val="both"/>
      </w:pPr>
      <w:r>
        <w:rPr>
          <w:sz w:val="20"/>
        </w:rPr>
        <w:t xml:space="preserve">Начало реализации инвестиционного проекта (месяц, год) ____________________</w:t>
      </w:r>
    </w:p>
    <w:p>
      <w:pPr>
        <w:pStyle w:val="1"/>
        <w:jc w:val="both"/>
      </w:pPr>
      <w:r>
        <w:rPr>
          <w:sz w:val="20"/>
        </w:rPr>
        <w:t xml:space="preserve">Отчетный период ___________________________________________________________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061"/>
        <w:gridCol w:w="850"/>
        <w:gridCol w:w="850"/>
        <w:gridCol w:w="850"/>
        <w:gridCol w:w="850"/>
        <w:gridCol w:w="850"/>
        <w:gridCol w:w="850"/>
      </w:tblGrid>
      <w:tr>
        <w:tc>
          <w:tcPr>
            <w:tcW w:w="907" w:type="dxa"/>
            <w:vMerge w:val="restart"/>
          </w:tcPr>
          <w:p>
            <w:pPr>
              <w:pStyle w:val="0"/>
              <w:jc w:val="center"/>
            </w:pPr>
            <w:r>
              <w:rPr>
                <w:sz w:val="20"/>
              </w:rPr>
              <w:t xml:space="preserve">N п/п</w:t>
            </w:r>
          </w:p>
        </w:tc>
        <w:tc>
          <w:tcPr>
            <w:tcW w:w="3061" w:type="dxa"/>
            <w:vMerge w:val="restart"/>
          </w:tcPr>
          <w:p>
            <w:pPr>
              <w:pStyle w:val="0"/>
              <w:jc w:val="center"/>
            </w:pPr>
            <w:r>
              <w:rPr>
                <w:sz w:val="20"/>
              </w:rPr>
              <w:t xml:space="preserve">Показатели</w:t>
            </w:r>
          </w:p>
        </w:tc>
        <w:tc>
          <w:tcPr>
            <w:gridSpan w:val="3"/>
            <w:tcW w:w="2550" w:type="dxa"/>
          </w:tcPr>
          <w:p>
            <w:pPr>
              <w:pStyle w:val="0"/>
              <w:jc w:val="center"/>
            </w:pPr>
            <w:r>
              <w:rPr>
                <w:sz w:val="20"/>
              </w:rPr>
              <w:t xml:space="preserve">Всего по проекту</w:t>
            </w:r>
          </w:p>
        </w:tc>
        <w:tc>
          <w:tcPr>
            <w:gridSpan w:val="3"/>
            <w:tcW w:w="2550" w:type="dxa"/>
          </w:tcPr>
          <w:p>
            <w:pPr>
              <w:pStyle w:val="0"/>
              <w:jc w:val="center"/>
            </w:pPr>
            <w:r>
              <w:rPr>
                <w:sz w:val="20"/>
              </w:rPr>
              <w:t xml:space="preserve">Отчетный период (отчетные периоды)</w:t>
            </w:r>
          </w:p>
        </w:tc>
      </w:tr>
      <w:tr>
        <w:tc>
          <w:tcPr>
            <w:vMerge w:val="continue"/>
          </w:tcPr>
          <w:p/>
        </w:tc>
        <w:tc>
          <w:tcPr>
            <w:vMerge w:val="continue"/>
          </w:tcPr>
          <w:p/>
        </w:tc>
        <w:tc>
          <w:tcPr>
            <w:tcW w:w="850" w:type="dxa"/>
          </w:tcPr>
          <w:p>
            <w:pPr>
              <w:pStyle w:val="0"/>
              <w:jc w:val="center"/>
            </w:pPr>
            <w:r>
              <w:rPr>
                <w:sz w:val="20"/>
              </w:rPr>
              <w:t xml:space="preserve">план</w:t>
            </w:r>
          </w:p>
        </w:tc>
        <w:tc>
          <w:tcPr>
            <w:tcW w:w="850" w:type="dxa"/>
          </w:tcPr>
          <w:p>
            <w:pPr>
              <w:pStyle w:val="0"/>
              <w:jc w:val="center"/>
            </w:pPr>
            <w:r>
              <w:rPr>
                <w:sz w:val="20"/>
              </w:rPr>
              <w:t xml:space="preserve">факт</w:t>
            </w:r>
          </w:p>
        </w:tc>
        <w:tc>
          <w:tcPr>
            <w:tcW w:w="850" w:type="dxa"/>
          </w:tcPr>
          <w:p>
            <w:pPr>
              <w:pStyle w:val="0"/>
              <w:jc w:val="center"/>
            </w:pPr>
            <w:r>
              <w:rPr>
                <w:sz w:val="20"/>
              </w:rPr>
              <w:t xml:space="preserve">% исп.</w:t>
            </w:r>
          </w:p>
        </w:tc>
        <w:tc>
          <w:tcPr>
            <w:tcW w:w="850" w:type="dxa"/>
          </w:tcPr>
          <w:p>
            <w:pPr>
              <w:pStyle w:val="0"/>
              <w:jc w:val="center"/>
            </w:pPr>
            <w:r>
              <w:rPr>
                <w:sz w:val="20"/>
              </w:rPr>
              <w:t xml:space="preserve">план</w:t>
            </w:r>
          </w:p>
        </w:tc>
        <w:tc>
          <w:tcPr>
            <w:tcW w:w="850" w:type="dxa"/>
          </w:tcPr>
          <w:p>
            <w:pPr>
              <w:pStyle w:val="0"/>
              <w:jc w:val="center"/>
            </w:pPr>
            <w:r>
              <w:rPr>
                <w:sz w:val="20"/>
              </w:rPr>
              <w:t xml:space="preserve">факт</w:t>
            </w:r>
          </w:p>
        </w:tc>
        <w:tc>
          <w:tcPr>
            <w:tcW w:w="850" w:type="dxa"/>
          </w:tcPr>
          <w:p>
            <w:pPr>
              <w:pStyle w:val="0"/>
              <w:jc w:val="center"/>
            </w:pPr>
            <w:r>
              <w:rPr>
                <w:sz w:val="20"/>
              </w:rPr>
              <w:t xml:space="preserve">% исп.</w:t>
            </w:r>
          </w:p>
        </w:tc>
      </w:tr>
      <w:tr>
        <w:tc>
          <w:tcPr>
            <w:tcW w:w="907" w:type="dxa"/>
          </w:tcPr>
          <w:bookmarkStart w:id="1064" w:name="P1064"/>
          <w:bookmarkEnd w:id="1064"/>
          <w:p>
            <w:pPr>
              <w:pStyle w:val="0"/>
              <w:outlineLvl w:val="2"/>
            </w:pPr>
            <w:r>
              <w:rPr>
                <w:sz w:val="20"/>
              </w:rPr>
              <w:t xml:space="preserve">1</w:t>
            </w:r>
          </w:p>
        </w:tc>
        <w:tc>
          <w:tcPr>
            <w:gridSpan w:val="7"/>
            <w:tcW w:w="8161" w:type="dxa"/>
          </w:tcPr>
          <w:p>
            <w:pPr>
              <w:pStyle w:val="0"/>
              <w:jc w:val="center"/>
            </w:pPr>
            <w:r>
              <w:rPr>
                <w:sz w:val="20"/>
              </w:rPr>
              <w:t xml:space="preserve">Инвестиции в проект, млн. руб.</w:t>
            </w:r>
          </w:p>
        </w:tc>
      </w:tr>
      <w:tr>
        <w:tc>
          <w:tcPr>
            <w:tcW w:w="907" w:type="dxa"/>
          </w:tcPr>
          <w:bookmarkStart w:id="1066" w:name="P1066"/>
          <w:bookmarkEnd w:id="1066"/>
          <w:p>
            <w:pPr>
              <w:pStyle w:val="0"/>
            </w:pPr>
            <w:r>
              <w:rPr>
                <w:sz w:val="20"/>
              </w:rPr>
              <w:t xml:space="preserve">1.1</w:t>
            </w:r>
          </w:p>
        </w:tc>
        <w:tc>
          <w:tcPr>
            <w:tcW w:w="3061" w:type="dxa"/>
          </w:tcPr>
          <w:p>
            <w:pPr>
              <w:pStyle w:val="0"/>
            </w:pPr>
            <w:r>
              <w:rPr>
                <w:sz w:val="20"/>
              </w:rPr>
              <w:t xml:space="preserve">Инвестиционные затраты (с НДС),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1.2</w:t>
            </w:r>
          </w:p>
        </w:tc>
        <w:tc>
          <w:tcPr>
            <w:tcW w:w="3061" w:type="dxa"/>
          </w:tcPr>
          <w:p>
            <w:pPr>
              <w:pStyle w:val="0"/>
            </w:pPr>
            <w:r>
              <w:rPr>
                <w:sz w:val="20"/>
              </w:rPr>
              <w:t xml:space="preserve">Инвестиционные затраты всего (без НДС), в том числе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082" w:name="P1082"/>
          <w:bookmarkEnd w:id="1082"/>
          <w:p>
            <w:pPr>
              <w:pStyle w:val="0"/>
            </w:pPr>
            <w:r>
              <w:rPr>
                <w:sz w:val="20"/>
              </w:rPr>
              <w:t xml:space="preserve">1.2.1</w:t>
            </w:r>
          </w:p>
        </w:tc>
        <w:tc>
          <w:tcPr>
            <w:tcW w:w="3061" w:type="dxa"/>
          </w:tcPr>
          <w:p>
            <w:pPr>
              <w:pStyle w:val="0"/>
            </w:pPr>
            <w:r>
              <w:rPr>
                <w:sz w:val="20"/>
              </w:rPr>
              <w:t xml:space="preserve">Капитальные вложения,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1.2.1.1</w:t>
            </w:r>
          </w:p>
        </w:tc>
        <w:tc>
          <w:tcPr>
            <w:tcW w:w="3061" w:type="dxa"/>
          </w:tcPr>
          <w:p>
            <w:pPr>
              <w:pStyle w:val="0"/>
            </w:pPr>
            <w:r>
              <w:rPr>
                <w:sz w:val="20"/>
              </w:rPr>
              <w:t xml:space="preserve">строительно-монтажные работы</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1.2.1.2</w:t>
            </w:r>
          </w:p>
        </w:tc>
        <w:tc>
          <w:tcPr>
            <w:tcW w:w="3061" w:type="dxa"/>
          </w:tcPr>
          <w:p>
            <w:pPr>
              <w:pStyle w:val="0"/>
            </w:pPr>
            <w:r>
              <w:rPr>
                <w:sz w:val="20"/>
              </w:rPr>
              <w:t xml:space="preserve">машины, оборудование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106" w:name="P1106"/>
          <w:bookmarkEnd w:id="1106"/>
          <w:p>
            <w:pPr>
              <w:pStyle w:val="0"/>
            </w:pPr>
            <w:r>
              <w:rPr>
                <w:sz w:val="20"/>
              </w:rPr>
              <w:t xml:space="preserve">1.2.1.3</w:t>
            </w:r>
          </w:p>
        </w:tc>
        <w:tc>
          <w:tcPr>
            <w:tcW w:w="3061" w:type="dxa"/>
          </w:tcPr>
          <w:p>
            <w:pPr>
              <w:pStyle w:val="0"/>
            </w:pPr>
            <w:r>
              <w:rPr>
                <w:sz w:val="20"/>
              </w:rPr>
              <w:t xml:space="preserve">прочие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1.2.2</w:t>
            </w:r>
          </w:p>
        </w:tc>
        <w:tc>
          <w:tcPr>
            <w:tcW w:w="3061" w:type="dxa"/>
          </w:tcPr>
          <w:p>
            <w:pPr>
              <w:pStyle w:val="0"/>
            </w:pPr>
            <w:r>
              <w:rPr>
                <w:sz w:val="20"/>
              </w:rPr>
              <w:t xml:space="preserve">Вложения в нематериальные активы,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1.3</w:t>
            </w:r>
          </w:p>
        </w:tc>
        <w:tc>
          <w:tcPr>
            <w:tcW w:w="3061" w:type="dxa"/>
          </w:tcPr>
          <w:p>
            <w:pPr>
              <w:pStyle w:val="0"/>
            </w:pPr>
            <w:r>
              <w:rPr>
                <w:sz w:val="20"/>
              </w:rPr>
              <w:t xml:space="preserve">Из </w:t>
            </w:r>
            <w:hyperlink w:history="0" w:anchor="P1066" w:tooltip="1.1">
              <w:r>
                <w:rPr>
                  <w:sz w:val="20"/>
                  <w:color w:val="0000ff"/>
                </w:rPr>
                <w:t xml:space="preserve">пункта 1.1</w:t>
              </w:r>
            </w:hyperlink>
            <w:r>
              <w:rPr>
                <w:sz w:val="20"/>
              </w:rPr>
              <w:t xml:space="preserve"> за счет собственных средств</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1.4</w:t>
            </w:r>
          </w:p>
        </w:tc>
        <w:tc>
          <w:tcPr>
            <w:tcW w:w="3061" w:type="dxa"/>
          </w:tcPr>
          <w:p>
            <w:pPr>
              <w:pStyle w:val="0"/>
            </w:pPr>
            <w:r>
              <w:rPr>
                <w:sz w:val="20"/>
              </w:rPr>
              <w:t xml:space="preserve">Из </w:t>
            </w:r>
            <w:hyperlink w:history="0" w:anchor="P1066" w:tooltip="1.1">
              <w:r>
                <w:rPr>
                  <w:sz w:val="20"/>
                  <w:color w:val="0000ff"/>
                </w:rPr>
                <w:t xml:space="preserve">пункта 1.1</w:t>
              </w:r>
            </w:hyperlink>
            <w:r>
              <w:rPr>
                <w:sz w:val="20"/>
              </w:rPr>
              <w:t xml:space="preserve"> за счет заемных средств</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138" w:name="P1138"/>
          <w:bookmarkEnd w:id="1138"/>
          <w:p>
            <w:pPr>
              <w:pStyle w:val="0"/>
              <w:outlineLvl w:val="2"/>
            </w:pPr>
            <w:r>
              <w:rPr>
                <w:sz w:val="20"/>
              </w:rPr>
              <w:t xml:space="preserve">2</w:t>
            </w:r>
          </w:p>
        </w:tc>
        <w:tc>
          <w:tcPr>
            <w:gridSpan w:val="7"/>
            <w:tcW w:w="8161" w:type="dxa"/>
          </w:tcPr>
          <w:p>
            <w:pPr>
              <w:pStyle w:val="0"/>
              <w:jc w:val="center"/>
            </w:pPr>
            <w:r>
              <w:rPr>
                <w:sz w:val="20"/>
              </w:rPr>
              <w:t xml:space="preserve">Операционная деятельность (без НДС), млн. руб.</w:t>
            </w:r>
          </w:p>
        </w:tc>
      </w:tr>
      <w:tr>
        <w:tc>
          <w:tcPr>
            <w:tcW w:w="907" w:type="dxa"/>
          </w:tcPr>
          <w:p>
            <w:pPr>
              <w:pStyle w:val="0"/>
            </w:pPr>
            <w:r>
              <w:rPr>
                <w:sz w:val="20"/>
              </w:rPr>
              <w:t xml:space="preserve">2.1</w:t>
            </w:r>
          </w:p>
        </w:tc>
        <w:tc>
          <w:tcPr>
            <w:tcW w:w="3061" w:type="dxa"/>
          </w:tcPr>
          <w:p>
            <w:pPr>
              <w:pStyle w:val="0"/>
            </w:pPr>
            <w:r>
              <w:rPr>
                <w:sz w:val="20"/>
              </w:rPr>
              <w:t xml:space="preserve">Выручка</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2.2</w:t>
            </w:r>
          </w:p>
        </w:tc>
        <w:tc>
          <w:tcPr>
            <w:tcW w:w="3061" w:type="dxa"/>
          </w:tcPr>
          <w:p>
            <w:pPr>
              <w:pStyle w:val="0"/>
            </w:pPr>
            <w:r>
              <w:rPr>
                <w:sz w:val="20"/>
              </w:rPr>
              <w:t xml:space="preserve">Прибыль от продаж</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3</w:t>
            </w:r>
          </w:p>
        </w:tc>
        <w:tc>
          <w:tcPr>
            <w:gridSpan w:val="7"/>
            <w:tcW w:w="8161" w:type="dxa"/>
          </w:tcPr>
          <w:p>
            <w:pPr>
              <w:pStyle w:val="0"/>
              <w:jc w:val="center"/>
            </w:pPr>
            <w:r>
              <w:rPr>
                <w:sz w:val="20"/>
              </w:rPr>
              <w:t xml:space="preserve">Операционная деятельность по проекту (без НДС), млн. руб.</w:t>
            </w:r>
          </w:p>
        </w:tc>
      </w:tr>
      <w:tr>
        <w:tc>
          <w:tcPr>
            <w:tcW w:w="907" w:type="dxa"/>
          </w:tcPr>
          <w:p>
            <w:pPr>
              <w:pStyle w:val="0"/>
            </w:pPr>
            <w:r>
              <w:rPr>
                <w:sz w:val="20"/>
              </w:rPr>
              <w:t xml:space="preserve">3.1</w:t>
            </w:r>
          </w:p>
        </w:tc>
        <w:tc>
          <w:tcPr>
            <w:tcW w:w="3061" w:type="dxa"/>
          </w:tcPr>
          <w:p>
            <w:pPr>
              <w:pStyle w:val="0"/>
            </w:pPr>
            <w:r>
              <w:rPr>
                <w:sz w:val="20"/>
              </w:rPr>
              <w:t xml:space="preserve">Выручка</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3.2</w:t>
            </w:r>
          </w:p>
        </w:tc>
        <w:tc>
          <w:tcPr>
            <w:tcW w:w="3061" w:type="dxa"/>
          </w:tcPr>
          <w:p>
            <w:pPr>
              <w:pStyle w:val="0"/>
            </w:pPr>
            <w:r>
              <w:rPr>
                <w:sz w:val="20"/>
              </w:rPr>
              <w:t xml:space="preserve">Себестоимость продаж</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3.3</w:t>
            </w:r>
          </w:p>
        </w:tc>
        <w:tc>
          <w:tcPr>
            <w:tcW w:w="3061" w:type="dxa"/>
          </w:tcPr>
          <w:p>
            <w:pPr>
              <w:pStyle w:val="0"/>
            </w:pPr>
            <w:r>
              <w:rPr>
                <w:sz w:val="20"/>
              </w:rPr>
              <w:t xml:space="preserve">Коммерческие расходы</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3.4</w:t>
            </w:r>
          </w:p>
        </w:tc>
        <w:tc>
          <w:tcPr>
            <w:tcW w:w="3061" w:type="dxa"/>
          </w:tcPr>
          <w:p>
            <w:pPr>
              <w:pStyle w:val="0"/>
            </w:pPr>
            <w:r>
              <w:rPr>
                <w:sz w:val="20"/>
              </w:rPr>
              <w:t xml:space="preserve">Управленческие расходы</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3.5</w:t>
            </w:r>
          </w:p>
        </w:tc>
        <w:tc>
          <w:tcPr>
            <w:tcW w:w="3061" w:type="dxa"/>
          </w:tcPr>
          <w:p>
            <w:pPr>
              <w:pStyle w:val="0"/>
            </w:pPr>
            <w:r>
              <w:rPr>
                <w:sz w:val="20"/>
              </w:rPr>
              <w:t xml:space="preserve">Прибыль от продаж</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4</w:t>
            </w:r>
          </w:p>
        </w:tc>
        <w:tc>
          <w:tcPr>
            <w:gridSpan w:val="7"/>
            <w:tcW w:w="8161" w:type="dxa"/>
          </w:tcPr>
          <w:p>
            <w:pPr>
              <w:pStyle w:val="0"/>
              <w:jc w:val="center"/>
            </w:pPr>
            <w:r>
              <w:rPr>
                <w:sz w:val="20"/>
              </w:rPr>
              <w:t xml:space="preserve">Финансовая деятельность (без НДС), млн. руб.</w:t>
            </w:r>
          </w:p>
        </w:tc>
      </w:tr>
      <w:tr>
        <w:tc>
          <w:tcPr>
            <w:tcW w:w="907" w:type="dxa"/>
          </w:tcPr>
          <w:p>
            <w:pPr>
              <w:pStyle w:val="0"/>
            </w:pPr>
            <w:r>
              <w:rPr>
                <w:sz w:val="20"/>
              </w:rPr>
              <w:t xml:space="preserve">4.1</w:t>
            </w:r>
          </w:p>
        </w:tc>
        <w:tc>
          <w:tcPr>
            <w:tcW w:w="3061" w:type="dxa"/>
          </w:tcPr>
          <w:p>
            <w:pPr>
              <w:pStyle w:val="0"/>
            </w:pPr>
            <w:r>
              <w:rPr>
                <w:sz w:val="20"/>
              </w:rPr>
              <w:t xml:space="preserve">Доходы от участия в других организациях</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4.2</w:t>
            </w:r>
          </w:p>
        </w:tc>
        <w:tc>
          <w:tcPr>
            <w:tcW w:w="3061" w:type="dxa"/>
          </w:tcPr>
          <w:p>
            <w:pPr>
              <w:pStyle w:val="0"/>
            </w:pPr>
            <w:r>
              <w:rPr>
                <w:sz w:val="20"/>
              </w:rPr>
              <w:t xml:space="preserve">Проценты к получению</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4.2.1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4.3</w:t>
            </w:r>
          </w:p>
        </w:tc>
        <w:tc>
          <w:tcPr>
            <w:tcW w:w="3061" w:type="dxa"/>
          </w:tcPr>
          <w:p>
            <w:pPr>
              <w:pStyle w:val="0"/>
            </w:pPr>
            <w:r>
              <w:rPr>
                <w:sz w:val="20"/>
              </w:rPr>
              <w:t xml:space="preserve">Проценты к уплате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4.3.1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240" w:name="P1240"/>
          <w:bookmarkEnd w:id="1240"/>
          <w:p>
            <w:pPr>
              <w:pStyle w:val="0"/>
              <w:outlineLvl w:val="2"/>
            </w:pPr>
            <w:r>
              <w:rPr>
                <w:sz w:val="20"/>
              </w:rPr>
              <w:t xml:space="preserve">5</w:t>
            </w:r>
          </w:p>
        </w:tc>
        <w:tc>
          <w:tcPr>
            <w:gridSpan w:val="7"/>
            <w:tcW w:w="8161" w:type="dxa"/>
          </w:tcPr>
          <w:p>
            <w:pPr>
              <w:pStyle w:val="0"/>
              <w:jc w:val="center"/>
            </w:pPr>
            <w:r>
              <w:rPr>
                <w:sz w:val="20"/>
              </w:rPr>
              <w:t xml:space="preserve">Прочие доходы и расходы (без НДС), млн. руб.</w:t>
            </w:r>
          </w:p>
        </w:tc>
      </w:tr>
      <w:tr>
        <w:tc>
          <w:tcPr>
            <w:tcW w:w="907" w:type="dxa"/>
          </w:tcPr>
          <w:p>
            <w:pPr>
              <w:pStyle w:val="0"/>
            </w:pPr>
            <w:r>
              <w:rPr>
                <w:sz w:val="20"/>
              </w:rPr>
              <w:t xml:space="preserve">5.1</w:t>
            </w:r>
          </w:p>
        </w:tc>
        <w:tc>
          <w:tcPr>
            <w:tcW w:w="3061" w:type="dxa"/>
          </w:tcPr>
          <w:p>
            <w:pPr>
              <w:pStyle w:val="0"/>
            </w:pPr>
            <w:r>
              <w:rPr>
                <w:sz w:val="20"/>
              </w:rPr>
              <w:t xml:space="preserve">Прочие доходы (включая субсидии)</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5.1.1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5.2</w:t>
            </w:r>
          </w:p>
        </w:tc>
        <w:tc>
          <w:tcPr>
            <w:tcW w:w="3061" w:type="dxa"/>
          </w:tcPr>
          <w:p>
            <w:pPr>
              <w:pStyle w:val="0"/>
            </w:pPr>
            <w:r>
              <w:rPr>
                <w:sz w:val="20"/>
              </w:rPr>
              <w:t xml:space="preserve">Прочие расходы</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5.2.1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274" w:name="P1274"/>
          <w:bookmarkEnd w:id="1274"/>
          <w:p>
            <w:pPr>
              <w:pStyle w:val="0"/>
              <w:outlineLvl w:val="2"/>
            </w:pPr>
            <w:r>
              <w:rPr>
                <w:sz w:val="20"/>
              </w:rPr>
              <w:t xml:space="preserve">6</w:t>
            </w:r>
          </w:p>
        </w:tc>
        <w:tc>
          <w:tcPr>
            <w:gridSpan w:val="7"/>
            <w:tcW w:w="8161" w:type="dxa"/>
          </w:tcPr>
          <w:p>
            <w:pPr>
              <w:pStyle w:val="0"/>
              <w:jc w:val="center"/>
            </w:pPr>
            <w:r>
              <w:rPr>
                <w:sz w:val="20"/>
              </w:rPr>
              <w:t xml:space="preserve">Финансовые результаты, млн. руб.</w:t>
            </w:r>
          </w:p>
        </w:tc>
      </w:tr>
      <w:tr>
        <w:tc>
          <w:tcPr>
            <w:tcW w:w="907" w:type="dxa"/>
          </w:tcPr>
          <w:p>
            <w:pPr>
              <w:pStyle w:val="0"/>
            </w:pPr>
            <w:r>
              <w:rPr>
                <w:sz w:val="20"/>
              </w:rPr>
              <w:t xml:space="preserve">6.1</w:t>
            </w:r>
          </w:p>
        </w:tc>
        <w:tc>
          <w:tcPr>
            <w:tcW w:w="3061" w:type="dxa"/>
          </w:tcPr>
          <w:p>
            <w:pPr>
              <w:pStyle w:val="0"/>
            </w:pPr>
            <w:r>
              <w:rPr>
                <w:sz w:val="20"/>
              </w:rPr>
              <w:t xml:space="preserve">Прибыль до налогообложения</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6.1.1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6.2</w:t>
            </w:r>
          </w:p>
        </w:tc>
        <w:tc>
          <w:tcPr>
            <w:tcW w:w="3061" w:type="dxa"/>
          </w:tcPr>
          <w:p>
            <w:pPr>
              <w:pStyle w:val="0"/>
            </w:pPr>
            <w:r>
              <w:rPr>
                <w:sz w:val="20"/>
              </w:rPr>
              <w:t xml:space="preserve">Налог на прибыль организаций (на доходы физических лиц индивидуального предпринимателя) за вычетом льгот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6.2.1</w:t>
            </w:r>
          </w:p>
        </w:tc>
        <w:tc>
          <w:tcPr>
            <w:tcW w:w="3061" w:type="dxa"/>
          </w:tcPr>
          <w:p>
            <w:pPr>
              <w:pStyle w:val="0"/>
            </w:pPr>
            <w:r>
              <w:rPr>
                <w:sz w:val="20"/>
              </w:rPr>
              <w:t xml:space="preserve">в том числе по проекту (за вычетом льгот)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6.3</w:t>
            </w:r>
          </w:p>
        </w:tc>
        <w:tc>
          <w:tcPr>
            <w:tcW w:w="3061" w:type="dxa"/>
          </w:tcPr>
          <w:p>
            <w:pPr>
              <w:pStyle w:val="0"/>
            </w:pPr>
            <w:r>
              <w:rPr>
                <w:sz w:val="20"/>
              </w:rPr>
              <w:t xml:space="preserve">Чистая прибыль</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316" w:name="P1316"/>
          <w:bookmarkEnd w:id="1316"/>
          <w:p>
            <w:pPr>
              <w:pStyle w:val="0"/>
            </w:pPr>
            <w:r>
              <w:rPr>
                <w:sz w:val="20"/>
              </w:rPr>
              <w:t xml:space="preserve">6.3.1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324" w:name="P1324"/>
          <w:bookmarkEnd w:id="1324"/>
          <w:p>
            <w:pPr>
              <w:pStyle w:val="0"/>
              <w:outlineLvl w:val="2"/>
            </w:pPr>
            <w:r>
              <w:rPr>
                <w:sz w:val="20"/>
              </w:rPr>
              <w:t xml:space="preserve">7</w:t>
            </w:r>
          </w:p>
        </w:tc>
        <w:tc>
          <w:tcPr>
            <w:gridSpan w:val="7"/>
            <w:tcW w:w="8161" w:type="dxa"/>
          </w:tcPr>
          <w:p>
            <w:pPr>
              <w:pStyle w:val="0"/>
              <w:jc w:val="center"/>
            </w:pPr>
            <w:r>
              <w:rPr>
                <w:sz w:val="20"/>
              </w:rPr>
              <w:t xml:space="preserve">Основные средства (без НДС), млн. руб.</w:t>
            </w:r>
          </w:p>
        </w:tc>
      </w:tr>
      <w:tr>
        <w:tc>
          <w:tcPr>
            <w:tcW w:w="907" w:type="dxa"/>
          </w:tcPr>
          <w:p>
            <w:pPr>
              <w:pStyle w:val="0"/>
            </w:pPr>
            <w:r>
              <w:rPr>
                <w:sz w:val="20"/>
              </w:rPr>
              <w:t xml:space="preserve">7.1</w:t>
            </w:r>
          </w:p>
        </w:tc>
        <w:tc>
          <w:tcPr>
            <w:tcW w:w="3061" w:type="dxa"/>
          </w:tcPr>
          <w:p>
            <w:pPr>
              <w:pStyle w:val="0"/>
            </w:pPr>
            <w:r>
              <w:rPr>
                <w:sz w:val="20"/>
              </w:rPr>
              <w:t xml:space="preserve">Остаточная стоимость на конец периода,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7.1.1</w:t>
            </w:r>
          </w:p>
        </w:tc>
        <w:tc>
          <w:tcPr>
            <w:tcW w:w="3061" w:type="dxa"/>
          </w:tcPr>
          <w:p>
            <w:pPr>
              <w:pStyle w:val="0"/>
            </w:pPr>
            <w:r>
              <w:rPr>
                <w:sz w:val="20"/>
              </w:rPr>
              <w:t xml:space="preserve">в том числе основных средств, используемых в проекте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7.2</w:t>
            </w:r>
          </w:p>
        </w:tc>
        <w:tc>
          <w:tcPr>
            <w:tcW w:w="3061" w:type="dxa"/>
          </w:tcPr>
          <w:p>
            <w:pPr>
              <w:pStyle w:val="0"/>
            </w:pPr>
            <w:r>
              <w:rPr>
                <w:sz w:val="20"/>
              </w:rPr>
              <w:t xml:space="preserve">Амортизация основных средств</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350" w:name="P1350"/>
          <w:bookmarkEnd w:id="1350"/>
          <w:p>
            <w:pPr>
              <w:pStyle w:val="0"/>
            </w:pPr>
            <w:r>
              <w:rPr>
                <w:sz w:val="20"/>
              </w:rPr>
              <w:t xml:space="preserve">7.2.1</w:t>
            </w:r>
          </w:p>
        </w:tc>
        <w:tc>
          <w:tcPr>
            <w:tcW w:w="3061" w:type="dxa"/>
          </w:tcPr>
          <w:p>
            <w:pPr>
              <w:pStyle w:val="0"/>
            </w:pPr>
            <w:r>
              <w:rPr>
                <w:sz w:val="20"/>
              </w:rPr>
              <w:t xml:space="preserve">в том числе основных средств, используемых в проекте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8</w:t>
            </w:r>
          </w:p>
        </w:tc>
        <w:tc>
          <w:tcPr>
            <w:gridSpan w:val="7"/>
            <w:tcW w:w="8161" w:type="dxa"/>
          </w:tcPr>
          <w:p>
            <w:pPr>
              <w:pStyle w:val="0"/>
              <w:jc w:val="center"/>
            </w:pPr>
            <w:r>
              <w:rPr>
                <w:sz w:val="20"/>
              </w:rPr>
              <w:t xml:space="preserve">Государственная поддержка проекта, млн. руб.</w:t>
            </w:r>
          </w:p>
        </w:tc>
      </w:tr>
      <w:tr>
        <w:tc>
          <w:tcPr>
            <w:tcW w:w="907" w:type="dxa"/>
          </w:tcPr>
          <w:bookmarkStart w:id="1360" w:name="P1360"/>
          <w:bookmarkEnd w:id="1360"/>
          <w:p>
            <w:pPr>
              <w:pStyle w:val="0"/>
            </w:pPr>
            <w:r>
              <w:rPr>
                <w:sz w:val="20"/>
              </w:rPr>
              <w:t xml:space="preserve">8.1</w:t>
            </w:r>
          </w:p>
        </w:tc>
        <w:tc>
          <w:tcPr>
            <w:tcW w:w="3061" w:type="dxa"/>
          </w:tcPr>
          <w:p>
            <w:pPr>
              <w:pStyle w:val="0"/>
            </w:pPr>
            <w:r>
              <w:rPr>
                <w:sz w:val="20"/>
              </w:rPr>
              <w:t xml:space="preserve">Из федерального бюджета,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368" w:name="P1368"/>
          <w:bookmarkEnd w:id="1368"/>
          <w:p>
            <w:pPr>
              <w:pStyle w:val="0"/>
            </w:pPr>
            <w:r>
              <w:rPr>
                <w:sz w:val="20"/>
              </w:rPr>
              <w:t xml:space="preserve">8.2</w:t>
            </w:r>
          </w:p>
        </w:tc>
        <w:tc>
          <w:tcPr>
            <w:tcW w:w="3061" w:type="dxa"/>
          </w:tcPr>
          <w:p>
            <w:pPr>
              <w:pStyle w:val="0"/>
            </w:pPr>
            <w:r>
              <w:rPr>
                <w:sz w:val="20"/>
              </w:rPr>
              <w:t xml:space="preserve">Из бюджета Новосибирской области по </w:t>
            </w:r>
            <w:hyperlink w:history="0" r:id="rId22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Закону</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8.2.1</w:t>
            </w:r>
          </w:p>
        </w:tc>
        <w:tc>
          <w:tcPr>
            <w:tcW w:w="3061" w:type="dxa"/>
          </w:tcPr>
          <w:p>
            <w:pPr>
              <w:pStyle w:val="0"/>
            </w:pPr>
            <w:r>
              <w:rPr>
                <w:sz w:val="20"/>
              </w:rPr>
              <w:t xml:space="preserve">субсидии для компенсации части процентной ставки по банковским кредитам</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8.2.2</w:t>
            </w:r>
          </w:p>
        </w:tc>
        <w:tc>
          <w:tcPr>
            <w:tcW w:w="3061" w:type="dxa"/>
          </w:tcPr>
          <w:p>
            <w:pPr>
              <w:pStyle w:val="0"/>
            </w:pPr>
            <w:r>
              <w:rPr>
                <w:sz w:val="20"/>
              </w:rPr>
              <w:t xml:space="preserve">субсидии для компенсации части лизинговых платежей</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8.2.3</w:t>
            </w:r>
          </w:p>
        </w:tc>
        <w:tc>
          <w:tcPr>
            <w:tcW w:w="3061" w:type="dxa"/>
          </w:tcPr>
          <w:p>
            <w:pPr>
              <w:pStyle w:val="0"/>
            </w:pPr>
            <w:r>
              <w:rPr>
                <w:sz w:val="20"/>
              </w:rPr>
              <w:t xml:space="preserve">субсидии для возмещения части их затрат на выполнение работ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8.2.4</w:t>
            </w:r>
          </w:p>
        </w:tc>
        <w:tc>
          <w:tcPr>
            <w:tcW w:w="3061" w:type="dxa"/>
          </w:tcPr>
          <w:p>
            <w:pPr>
              <w:pStyle w:val="0"/>
            </w:pPr>
            <w:r>
              <w:rPr>
                <w:sz w:val="20"/>
              </w:rPr>
              <w:t xml:space="preserve">субсидии для возмещения части затрат на приобретение нового технологического оборудования</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8.2.5</w:t>
            </w:r>
          </w:p>
        </w:tc>
        <w:tc>
          <w:tcPr>
            <w:tcW w:w="3061" w:type="dxa"/>
          </w:tcPr>
          <w:p>
            <w:pPr>
              <w:pStyle w:val="0"/>
            </w:pPr>
            <w:r>
              <w:rPr>
                <w:sz w:val="20"/>
              </w:rPr>
              <w:t xml:space="preserve">субсидии прочие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8.2.6</w:t>
            </w:r>
          </w:p>
        </w:tc>
        <w:tc>
          <w:tcPr>
            <w:tcW w:w="3061" w:type="dxa"/>
          </w:tcPr>
          <w:p>
            <w:pPr>
              <w:pStyle w:val="0"/>
            </w:pPr>
            <w:r>
              <w:rPr>
                <w:sz w:val="20"/>
              </w:rPr>
              <w:t xml:space="preserve">льгота по налогу на прибыль организаций</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8.2.7</w:t>
            </w:r>
          </w:p>
        </w:tc>
        <w:tc>
          <w:tcPr>
            <w:tcW w:w="3061" w:type="dxa"/>
          </w:tcPr>
          <w:p>
            <w:pPr>
              <w:pStyle w:val="0"/>
            </w:pPr>
            <w:r>
              <w:rPr>
                <w:sz w:val="20"/>
              </w:rPr>
              <w:t xml:space="preserve">льгота по налогу на имущество организаций</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432" w:name="P1432"/>
          <w:bookmarkEnd w:id="1432"/>
          <w:p>
            <w:pPr>
              <w:pStyle w:val="0"/>
            </w:pPr>
            <w:r>
              <w:rPr>
                <w:sz w:val="20"/>
              </w:rPr>
              <w:t xml:space="preserve">8.3</w:t>
            </w:r>
          </w:p>
        </w:tc>
        <w:tc>
          <w:tcPr>
            <w:tcW w:w="3061" w:type="dxa"/>
          </w:tcPr>
          <w:p>
            <w:pPr>
              <w:pStyle w:val="0"/>
            </w:pPr>
            <w:r>
              <w:rPr>
                <w:sz w:val="20"/>
              </w:rPr>
              <w:t xml:space="preserve">из бюджета Новосибирской области по другим направлениям поддержки</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8.3.1</w:t>
            </w:r>
          </w:p>
        </w:tc>
        <w:tc>
          <w:tcPr>
            <w:tcW w:w="3061" w:type="dxa"/>
          </w:tcPr>
          <w:p>
            <w:pPr>
              <w:pStyle w:val="0"/>
            </w:pPr>
            <w:r>
              <w:rPr>
                <w:sz w:val="20"/>
              </w:rPr>
              <w:t xml:space="preserve">(указываются наименования каждой меры государственной поддержки)</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448" w:name="P1448"/>
          <w:bookmarkEnd w:id="1448"/>
          <w:p>
            <w:pPr>
              <w:pStyle w:val="0"/>
              <w:outlineLvl w:val="2"/>
            </w:pPr>
            <w:r>
              <w:rPr>
                <w:sz w:val="20"/>
              </w:rPr>
              <w:t xml:space="preserve">9</w:t>
            </w:r>
          </w:p>
        </w:tc>
        <w:tc>
          <w:tcPr>
            <w:gridSpan w:val="7"/>
            <w:tcW w:w="8161" w:type="dxa"/>
          </w:tcPr>
          <w:p>
            <w:pPr>
              <w:pStyle w:val="0"/>
              <w:jc w:val="center"/>
            </w:pPr>
            <w:r>
              <w:rPr>
                <w:sz w:val="20"/>
              </w:rPr>
              <w:t xml:space="preserve">Налоговые начисления по проекту, млн. руб.</w:t>
            </w:r>
          </w:p>
        </w:tc>
      </w:tr>
      <w:tr>
        <w:tc>
          <w:tcPr>
            <w:tcW w:w="907" w:type="dxa"/>
          </w:tcPr>
          <w:p>
            <w:pPr>
              <w:pStyle w:val="0"/>
            </w:pPr>
            <w:r>
              <w:rPr>
                <w:sz w:val="20"/>
              </w:rPr>
              <w:t xml:space="preserve">9.1</w:t>
            </w:r>
          </w:p>
        </w:tc>
        <w:tc>
          <w:tcPr>
            <w:tcW w:w="3061" w:type="dxa"/>
          </w:tcPr>
          <w:p>
            <w:pPr>
              <w:pStyle w:val="0"/>
            </w:pPr>
            <w:r>
              <w:rPr>
                <w:sz w:val="20"/>
              </w:rPr>
              <w:t xml:space="preserve">В федеральный бюджет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458" w:name="P1458"/>
          <w:bookmarkEnd w:id="1458"/>
          <w:p>
            <w:pPr>
              <w:pStyle w:val="0"/>
            </w:pPr>
            <w:r>
              <w:rPr>
                <w:sz w:val="20"/>
              </w:rPr>
              <w:t xml:space="preserve">9.2</w:t>
            </w:r>
          </w:p>
        </w:tc>
        <w:tc>
          <w:tcPr>
            <w:tcW w:w="3061" w:type="dxa"/>
          </w:tcPr>
          <w:p>
            <w:pPr>
              <w:pStyle w:val="0"/>
            </w:pPr>
            <w:r>
              <w:rPr>
                <w:sz w:val="20"/>
              </w:rPr>
              <w:t xml:space="preserve">В консолидированный бюджет Новосибирской области,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9.2.1</w:t>
            </w:r>
          </w:p>
        </w:tc>
        <w:tc>
          <w:tcPr>
            <w:tcW w:w="3061" w:type="dxa"/>
          </w:tcPr>
          <w:p>
            <w:pPr>
              <w:pStyle w:val="0"/>
            </w:pPr>
            <w:r>
              <w:rPr>
                <w:sz w:val="20"/>
              </w:rPr>
              <w:t xml:space="preserve">налог, взимаемый в связи с применением упрощенной системы налогообложения (УСН)</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9.2.2</w:t>
            </w:r>
          </w:p>
        </w:tc>
        <w:tc>
          <w:tcPr>
            <w:tcW w:w="3061" w:type="dxa"/>
          </w:tcPr>
          <w:p>
            <w:pPr>
              <w:pStyle w:val="0"/>
            </w:pPr>
            <w:r>
              <w:rPr>
                <w:sz w:val="20"/>
              </w:rPr>
              <w:t xml:space="preserve">налог на прибыль организаций (на доходы физических лиц индивидуального предпринимателя) за вычетом льгот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9.2.3</w:t>
            </w:r>
          </w:p>
        </w:tc>
        <w:tc>
          <w:tcPr>
            <w:tcW w:w="3061" w:type="dxa"/>
          </w:tcPr>
          <w:p>
            <w:pPr>
              <w:pStyle w:val="0"/>
            </w:pPr>
            <w:r>
              <w:rPr>
                <w:sz w:val="20"/>
              </w:rPr>
              <w:t xml:space="preserve">налог на имущество (за вычетом льгот)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9.2.4</w:t>
            </w:r>
          </w:p>
        </w:tc>
        <w:tc>
          <w:tcPr>
            <w:tcW w:w="3061" w:type="dxa"/>
          </w:tcPr>
          <w:p>
            <w:pPr>
              <w:pStyle w:val="0"/>
            </w:pPr>
            <w:r>
              <w:rPr>
                <w:sz w:val="20"/>
              </w:rPr>
              <w:t xml:space="preserve">налог на доходы физических лиц (сотрудников, участвующих в инвестиционном проекте)</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9.2.5</w:t>
            </w:r>
          </w:p>
        </w:tc>
        <w:tc>
          <w:tcPr>
            <w:tcW w:w="3061" w:type="dxa"/>
          </w:tcPr>
          <w:p>
            <w:pPr>
              <w:pStyle w:val="0"/>
            </w:pPr>
            <w:r>
              <w:rPr>
                <w:sz w:val="20"/>
              </w:rPr>
              <w:t xml:space="preserve">транспортный налог</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9.2.6</w:t>
            </w:r>
          </w:p>
        </w:tc>
        <w:tc>
          <w:tcPr>
            <w:tcW w:w="3061" w:type="dxa"/>
          </w:tcPr>
          <w:p>
            <w:pPr>
              <w:pStyle w:val="0"/>
            </w:pPr>
            <w:r>
              <w:rPr>
                <w:sz w:val="20"/>
              </w:rPr>
              <w:t xml:space="preserve">земельный налог</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9.2.7</w:t>
            </w:r>
          </w:p>
        </w:tc>
        <w:tc>
          <w:tcPr>
            <w:tcW w:w="3061" w:type="dxa"/>
          </w:tcPr>
          <w:p>
            <w:pPr>
              <w:pStyle w:val="0"/>
            </w:pPr>
            <w:r>
              <w:rPr>
                <w:sz w:val="20"/>
              </w:rPr>
              <w:t xml:space="preserve">единый налог на вмененный доход</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9.2.8</w:t>
            </w:r>
          </w:p>
        </w:tc>
        <w:tc>
          <w:tcPr>
            <w:tcW w:w="3061" w:type="dxa"/>
          </w:tcPr>
          <w:p>
            <w:pPr>
              <w:pStyle w:val="0"/>
            </w:pPr>
            <w:r>
              <w:rPr>
                <w:sz w:val="20"/>
              </w:rPr>
              <w:t xml:space="preserve">налог на добычу полезных ископаемых</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530" w:name="P1530"/>
          <w:bookmarkEnd w:id="1530"/>
          <w:p>
            <w:pPr>
              <w:pStyle w:val="0"/>
            </w:pPr>
            <w:r>
              <w:rPr>
                <w:sz w:val="20"/>
              </w:rPr>
              <w:t xml:space="preserve">9.2.9</w:t>
            </w:r>
          </w:p>
        </w:tc>
        <w:tc>
          <w:tcPr>
            <w:tcW w:w="3061" w:type="dxa"/>
          </w:tcPr>
          <w:p>
            <w:pPr>
              <w:pStyle w:val="0"/>
            </w:pPr>
            <w:r>
              <w:rPr>
                <w:sz w:val="20"/>
              </w:rPr>
              <w:t xml:space="preserve">другие налоги</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10</w:t>
            </w:r>
          </w:p>
        </w:tc>
        <w:tc>
          <w:tcPr>
            <w:gridSpan w:val="7"/>
            <w:tcW w:w="8161" w:type="dxa"/>
          </w:tcPr>
          <w:p>
            <w:pPr>
              <w:pStyle w:val="0"/>
              <w:jc w:val="center"/>
            </w:pPr>
            <w:r>
              <w:rPr>
                <w:sz w:val="20"/>
              </w:rPr>
              <w:t xml:space="preserve">Бюджетная эффективность проекта, млн. руб.</w:t>
            </w:r>
          </w:p>
        </w:tc>
      </w:tr>
      <w:tr>
        <w:tc>
          <w:tcPr>
            <w:tcW w:w="907" w:type="dxa"/>
          </w:tcPr>
          <w:bookmarkStart w:id="1540" w:name="P1540"/>
          <w:bookmarkEnd w:id="1540"/>
          <w:p>
            <w:pPr>
              <w:pStyle w:val="0"/>
            </w:pPr>
            <w:r>
              <w:rPr>
                <w:sz w:val="20"/>
              </w:rPr>
              <w:t xml:space="preserve">10.1</w:t>
            </w:r>
          </w:p>
        </w:tc>
        <w:tc>
          <w:tcPr>
            <w:tcW w:w="3061" w:type="dxa"/>
          </w:tcPr>
          <w:p>
            <w:pPr>
              <w:pStyle w:val="0"/>
            </w:pPr>
            <w:r>
              <w:rPr>
                <w:sz w:val="20"/>
              </w:rPr>
              <w:t xml:space="preserve">Бюджетный эффект</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11</w:t>
            </w:r>
          </w:p>
        </w:tc>
        <w:tc>
          <w:tcPr>
            <w:gridSpan w:val="7"/>
            <w:tcW w:w="8161" w:type="dxa"/>
          </w:tcPr>
          <w:p>
            <w:pPr>
              <w:pStyle w:val="0"/>
              <w:jc w:val="center"/>
            </w:pPr>
            <w:r>
              <w:rPr>
                <w:sz w:val="20"/>
              </w:rPr>
              <w:t xml:space="preserve">Социальная эффективность</w:t>
            </w:r>
          </w:p>
        </w:tc>
      </w:tr>
      <w:tr>
        <w:tc>
          <w:tcPr>
            <w:tcW w:w="907" w:type="dxa"/>
          </w:tcPr>
          <w:p>
            <w:pPr>
              <w:pStyle w:val="0"/>
            </w:pPr>
            <w:r>
              <w:rPr>
                <w:sz w:val="20"/>
              </w:rPr>
              <w:t xml:space="preserve">11.1</w:t>
            </w:r>
          </w:p>
        </w:tc>
        <w:tc>
          <w:tcPr>
            <w:tcW w:w="3061" w:type="dxa"/>
          </w:tcPr>
          <w:p>
            <w:pPr>
              <w:pStyle w:val="0"/>
            </w:pPr>
            <w:r>
              <w:rPr>
                <w:sz w:val="20"/>
              </w:rPr>
              <w:t xml:space="preserve">Среднесписочная численность работников инвестора, чел., всего</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11.1.1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566" w:name="P1566"/>
          <w:bookmarkEnd w:id="1566"/>
          <w:p>
            <w:pPr>
              <w:pStyle w:val="0"/>
            </w:pPr>
            <w:r>
              <w:rPr>
                <w:sz w:val="20"/>
              </w:rPr>
              <w:t xml:space="preserve">11.2</w:t>
            </w:r>
          </w:p>
        </w:tc>
        <w:tc>
          <w:tcPr>
            <w:tcW w:w="3061" w:type="dxa"/>
          </w:tcPr>
          <w:p>
            <w:pPr>
              <w:pStyle w:val="0"/>
            </w:pPr>
            <w:r>
              <w:rPr>
                <w:sz w:val="20"/>
              </w:rPr>
              <w:t xml:space="preserve">Создание новых рабочих мест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bookmarkStart w:id="1574" w:name="P1574"/>
          <w:bookmarkEnd w:id="1574"/>
          <w:p>
            <w:pPr>
              <w:pStyle w:val="0"/>
            </w:pPr>
            <w:r>
              <w:rPr>
                <w:sz w:val="20"/>
              </w:rPr>
              <w:t xml:space="preserve">11.3</w:t>
            </w:r>
          </w:p>
        </w:tc>
        <w:tc>
          <w:tcPr>
            <w:tcW w:w="3061" w:type="dxa"/>
          </w:tcPr>
          <w:p>
            <w:pPr>
              <w:pStyle w:val="0"/>
            </w:pPr>
            <w:r>
              <w:rPr>
                <w:sz w:val="20"/>
              </w:rPr>
              <w:t xml:space="preserve">Среднемесячная заработная плата работников инвестора, тыс. руб.</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pPr>
            <w:r>
              <w:rPr>
                <w:sz w:val="20"/>
              </w:rPr>
              <w:t xml:space="preserve">11.3.1</w:t>
            </w:r>
          </w:p>
        </w:tc>
        <w:tc>
          <w:tcPr>
            <w:tcW w:w="3061" w:type="dxa"/>
          </w:tcPr>
          <w:p>
            <w:pPr>
              <w:pStyle w:val="0"/>
            </w:pPr>
            <w:r>
              <w:rPr>
                <w:sz w:val="20"/>
              </w:rPr>
              <w:t xml:space="preserve">в том числе по проекту</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r>
        <w:tc>
          <w:tcPr>
            <w:tcW w:w="907" w:type="dxa"/>
          </w:tcPr>
          <w:p>
            <w:pPr>
              <w:pStyle w:val="0"/>
              <w:outlineLvl w:val="2"/>
            </w:pPr>
            <w:r>
              <w:rPr>
                <w:sz w:val="20"/>
              </w:rPr>
              <w:t xml:space="preserve">12</w:t>
            </w:r>
          </w:p>
        </w:tc>
        <w:tc>
          <w:tcPr>
            <w:gridSpan w:val="7"/>
            <w:tcW w:w="8161" w:type="dxa"/>
          </w:tcPr>
          <w:p>
            <w:pPr>
              <w:pStyle w:val="0"/>
              <w:jc w:val="center"/>
            </w:pPr>
            <w:r>
              <w:rPr>
                <w:sz w:val="20"/>
              </w:rPr>
              <w:t xml:space="preserve">Окупаемость проекта, млн. руб.</w:t>
            </w:r>
          </w:p>
        </w:tc>
      </w:tr>
      <w:tr>
        <w:tc>
          <w:tcPr>
            <w:tcW w:w="907" w:type="dxa"/>
          </w:tcPr>
          <w:bookmarkStart w:id="1592" w:name="P1592"/>
          <w:bookmarkEnd w:id="1592"/>
          <w:p>
            <w:pPr>
              <w:pStyle w:val="0"/>
            </w:pPr>
            <w:r>
              <w:rPr>
                <w:sz w:val="20"/>
              </w:rPr>
              <w:t xml:space="preserve">12.1</w:t>
            </w:r>
          </w:p>
        </w:tc>
        <w:tc>
          <w:tcPr>
            <w:tcW w:w="3061" w:type="dxa"/>
          </w:tcPr>
          <w:p>
            <w:pPr>
              <w:pStyle w:val="0"/>
            </w:pPr>
            <w:r>
              <w:rPr>
                <w:sz w:val="20"/>
              </w:rPr>
              <w:t xml:space="preserve">Окупаемость</w:t>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r>
    </w:tbl>
    <w:p>
      <w:pPr>
        <w:pStyle w:val="0"/>
        <w:ind w:firstLine="540"/>
        <w:jc w:val="both"/>
      </w:pPr>
      <w:r>
        <w:rPr>
          <w:sz w:val="20"/>
        </w:rPr>
      </w:r>
    </w:p>
    <w:p>
      <w:pPr>
        <w:pStyle w:val="1"/>
        <w:jc w:val="both"/>
      </w:pPr>
      <w:r>
        <w:rPr>
          <w:sz w:val="20"/>
        </w:rPr>
        <w:t xml:space="preserve">"____" ____________ 20___ г.</w:t>
      </w:r>
    </w:p>
    <w:p>
      <w:pPr>
        <w:pStyle w:val="1"/>
        <w:jc w:val="both"/>
      </w:pPr>
      <w:r>
        <w:rPr>
          <w:sz w:val="20"/>
        </w:rPr>
      </w:r>
    </w:p>
    <w:p>
      <w:pPr>
        <w:pStyle w:val="1"/>
        <w:jc w:val="both"/>
      </w:pPr>
      <w:r>
        <w:rPr>
          <w:sz w:val="20"/>
        </w:rPr>
        <w:t xml:space="preserve">_________________ / ___________________________</w:t>
      </w:r>
    </w:p>
    <w:p>
      <w:pPr>
        <w:pStyle w:val="1"/>
        <w:jc w:val="both"/>
      </w:pPr>
      <w:r>
        <w:rPr>
          <w:sz w:val="20"/>
        </w:rPr>
        <w:t xml:space="preserve"> подпись уполномоченного лица (с расшифровкой)</w:t>
      </w:r>
    </w:p>
    <w:p>
      <w:pPr>
        <w:pStyle w:val="1"/>
        <w:jc w:val="both"/>
      </w:pPr>
      <w:r>
        <w:rPr>
          <w:sz w:val="20"/>
        </w:rPr>
      </w:r>
    </w:p>
    <w:p>
      <w:pPr>
        <w:pStyle w:val="1"/>
        <w:jc w:val="both"/>
      </w:pPr>
      <w:r>
        <w:rPr>
          <w:sz w:val="20"/>
        </w:rPr>
        <w:t xml:space="preserve">            М.П.</w:t>
      </w:r>
    </w:p>
    <w:p>
      <w:pPr>
        <w:pStyle w:val="1"/>
        <w:jc w:val="both"/>
      </w:pPr>
      <w:r>
        <w:rPr>
          <w:sz w:val="20"/>
        </w:rPr>
        <w:t xml:space="preserve">    (при наличии печати)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осуществления контроля за</w:t>
      </w:r>
    </w:p>
    <w:p>
      <w:pPr>
        <w:pStyle w:val="0"/>
        <w:jc w:val="right"/>
      </w:pPr>
      <w:r>
        <w:rPr>
          <w:sz w:val="20"/>
        </w:rPr>
        <w:t xml:space="preserve">эффективностью мер государственной</w:t>
      </w:r>
    </w:p>
    <w:p>
      <w:pPr>
        <w:pStyle w:val="0"/>
        <w:jc w:val="right"/>
      </w:pPr>
      <w:r>
        <w:rPr>
          <w:sz w:val="20"/>
        </w:rPr>
        <w:t xml:space="preserve">поддержки инвестиционной деятельности</w:t>
      </w:r>
    </w:p>
    <w:p>
      <w:pPr>
        <w:pStyle w:val="0"/>
        <w:jc w:val="right"/>
      </w:pPr>
      <w:r>
        <w:rPr>
          <w:sz w:val="20"/>
        </w:rPr>
        <w:t xml:space="preserve">и ходом реализации инвестиционных</w:t>
      </w:r>
    </w:p>
    <w:p>
      <w:pPr>
        <w:pStyle w:val="0"/>
        <w:jc w:val="right"/>
      </w:pPr>
      <w:r>
        <w:rPr>
          <w:sz w:val="20"/>
        </w:rPr>
        <w:t xml:space="preserve">проектов на территории</w:t>
      </w:r>
    </w:p>
    <w:p>
      <w:pPr>
        <w:pStyle w:val="0"/>
        <w:jc w:val="right"/>
      </w:pPr>
      <w:r>
        <w:rPr>
          <w:sz w:val="20"/>
        </w:rPr>
        <w:t xml:space="preserve">Новосибирской области</w:t>
      </w:r>
    </w:p>
    <w:p>
      <w:pPr>
        <w:pStyle w:val="0"/>
        <w:ind w:firstLine="540"/>
        <w:jc w:val="both"/>
      </w:pPr>
      <w:r>
        <w:rPr>
          <w:sz w:val="20"/>
        </w:rPr>
      </w:r>
    </w:p>
    <w:bookmarkStart w:id="1622" w:name="P1622"/>
    <w:bookmarkEnd w:id="1622"/>
    <w:p>
      <w:pPr>
        <w:pStyle w:val="2"/>
        <w:jc w:val="center"/>
      </w:pPr>
      <w:r>
        <w:rPr>
          <w:sz w:val="20"/>
        </w:rPr>
        <w:t xml:space="preserve">МЕТОДИЧЕСКИЕ РЕКОМЕНДАЦИИ</w:t>
      </w:r>
    </w:p>
    <w:p>
      <w:pPr>
        <w:pStyle w:val="2"/>
        <w:jc w:val="center"/>
      </w:pPr>
      <w:r>
        <w:rPr>
          <w:sz w:val="20"/>
        </w:rPr>
        <w:t xml:space="preserve">по заполнению формы "Фактические</w:t>
      </w:r>
    </w:p>
    <w:p>
      <w:pPr>
        <w:pStyle w:val="2"/>
        <w:jc w:val="center"/>
      </w:pPr>
      <w:r>
        <w:rPr>
          <w:sz w:val="20"/>
        </w:rPr>
        <w:t xml:space="preserve">финансово-экономические показатели проекта"</w:t>
      </w:r>
    </w:p>
    <w:p>
      <w:pPr>
        <w:pStyle w:val="0"/>
        <w:ind w:firstLine="540"/>
        <w:jc w:val="both"/>
      </w:pPr>
      <w:r>
        <w:rPr>
          <w:sz w:val="20"/>
        </w:rPr>
      </w:r>
    </w:p>
    <w:p>
      <w:pPr>
        <w:pStyle w:val="0"/>
        <w:ind w:firstLine="540"/>
        <w:jc w:val="both"/>
      </w:pPr>
      <w:r>
        <w:rPr>
          <w:sz w:val="20"/>
        </w:rPr>
        <w:t xml:space="preserve">1. Инвестиционные затраты </w:t>
      </w:r>
      <w:hyperlink w:history="0" w:anchor="P1064" w:tooltip="1">
        <w:r>
          <w:rPr>
            <w:sz w:val="20"/>
            <w:color w:val="0000ff"/>
          </w:rPr>
          <w:t xml:space="preserve">(раздел 1)</w:t>
        </w:r>
      </w:hyperlink>
      <w:r>
        <w:rPr>
          <w:sz w:val="20"/>
        </w:rPr>
        <w:t xml:space="preserve">, доходы и расходы (</w:t>
      </w:r>
      <w:hyperlink w:history="0" w:anchor="P1138" w:tooltip="2">
        <w:r>
          <w:rPr>
            <w:sz w:val="20"/>
            <w:color w:val="0000ff"/>
          </w:rPr>
          <w:t xml:space="preserve">разделы 2</w:t>
        </w:r>
      </w:hyperlink>
      <w:r>
        <w:rPr>
          <w:sz w:val="20"/>
        </w:rPr>
        <w:t xml:space="preserve"> - </w:t>
      </w:r>
      <w:hyperlink w:history="0" w:anchor="P1240" w:tooltip="5">
        <w:r>
          <w:rPr>
            <w:sz w:val="20"/>
            <w:color w:val="0000ff"/>
          </w:rPr>
          <w:t xml:space="preserve">5</w:t>
        </w:r>
      </w:hyperlink>
      <w:r>
        <w:rPr>
          <w:sz w:val="20"/>
        </w:rPr>
        <w:t xml:space="preserve">), финансовые результаты </w:t>
      </w:r>
      <w:hyperlink w:history="0" w:anchor="P1274" w:tooltip="6">
        <w:r>
          <w:rPr>
            <w:sz w:val="20"/>
            <w:color w:val="0000ff"/>
          </w:rPr>
          <w:t xml:space="preserve">(раздел 6)</w:t>
        </w:r>
      </w:hyperlink>
      <w:r>
        <w:rPr>
          <w:sz w:val="20"/>
        </w:rPr>
        <w:t xml:space="preserve">, основные средства </w:t>
      </w:r>
      <w:hyperlink w:history="0" w:anchor="P1324" w:tooltip="7">
        <w:r>
          <w:rPr>
            <w:sz w:val="20"/>
            <w:color w:val="0000ff"/>
          </w:rPr>
          <w:t xml:space="preserve">(раздел 7)</w:t>
        </w:r>
      </w:hyperlink>
      <w:r>
        <w:rPr>
          <w:sz w:val="20"/>
        </w:rPr>
        <w:t xml:space="preserve"> отражаются по данным бухгалтерского учета.</w:t>
      </w:r>
    </w:p>
    <w:p>
      <w:pPr>
        <w:pStyle w:val="0"/>
        <w:spacing w:before="200" w:line-rule="auto"/>
        <w:ind w:firstLine="540"/>
        <w:jc w:val="both"/>
      </w:pPr>
      <w:r>
        <w:rPr>
          <w:sz w:val="20"/>
        </w:rPr>
        <w:t xml:space="preserve">2. Числовые значения в форме заполняются с округлением до одной десятой.</w:t>
      </w:r>
    </w:p>
    <w:p>
      <w:pPr>
        <w:pStyle w:val="0"/>
        <w:spacing w:before="200" w:line-rule="auto"/>
        <w:ind w:firstLine="540"/>
        <w:jc w:val="both"/>
      </w:pPr>
      <w:r>
        <w:rPr>
          <w:sz w:val="20"/>
        </w:rPr>
        <w:t xml:space="preserve">3. В столбце "Всего по проекту" - "План" указываются плановые значения показателей за весь период реализации инвестиционного проекта.</w:t>
      </w:r>
    </w:p>
    <w:p>
      <w:pPr>
        <w:pStyle w:val="0"/>
        <w:spacing w:before="200" w:line-rule="auto"/>
        <w:ind w:firstLine="540"/>
        <w:jc w:val="both"/>
      </w:pPr>
      <w:r>
        <w:rPr>
          <w:sz w:val="20"/>
        </w:rPr>
        <w:t xml:space="preserve">4. Для отчетов за 1 квартал, 1 полугодие, 9 месяцев заполняется один столбец "Отчетный период" за соответствующий период, при этом в столбце "Отчетный период" - "План" указываются плановые значения показателей на текущий год.</w:t>
      </w:r>
    </w:p>
    <w:p>
      <w:pPr>
        <w:pStyle w:val="0"/>
        <w:spacing w:before="200" w:line-rule="auto"/>
        <w:ind w:firstLine="540"/>
        <w:jc w:val="both"/>
      </w:pPr>
      <w:r>
        <w:rPr>
          <w:sz w:val="20"/>
        </w:rPr>
        <w:t xml:space="preserve">5. Для годового отчета количество столбцов "отчетные периоды" должно быть равным количеству лет, в течение которых реализуется инвестиционный проект, начиная с года, в течение которого была подана заявка на участие в конкурсе инвестиционных проектов, и заканчивая отчетным годом. В наименовании столбцов указываются годы.</w:t>
      </w:r>
    </w:p>
    <w:p>
      <w:pPr>
        <w:pStyle w:val="0"/>
        <w:spacing w:before="200" w:line-rule="auto"/>
        <w:ind w:firstLine="540"/>
        <w:jc w:val="both"/>
      </w:pPr>
      <w:r>
        <w:rPr>
          <w:sz w:val="20"/>
        </w:rPr>
        <w:t xml:space="preserve">6. В </w:t>
      </w:r>
      <w:hyperlink w:history="0" w:anchor="P1360" w:tooltip="8.1">
        <w:r>
          <w:rPr>
            <w:sz w:val="20"/>
            <w:color w:val="0000ff"/>
          </w:rPr>
          <w:t xml:space="preserve">пунктах 8.1</w:t>
        </w:r>
      </w:hyperlink>
      <w:r>
        <w:rPr>
          <w:sz w:val="20"/>
        </w:rPr>
        <w:t xml:space="preserve">, </w:t>
      </w:r>
      <w:hyperlink w:history="0" w:anchor="P1432" w:tooltip="8.3">
        <w:r>
          <w:rPr>
            <w:sz w:val="20"/>
            <w:color w:val="0000ff"/>
          </w:rPr>
          <w:t xml:space="preserve">8.3</w:t>
        </w:r>
      </w:hyperlink>
      <w:r>
        <w:rPr>
          <w:sz w:val="20"/>
        </w:rP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проектов.</w:t>
      </w:r>
    </w:p>
    <w:p>
      <w:pPr>
        <w:pStyle w:val="0"/>
        <w:spacing w:before="200" w:line-rule="auto"/>
        <w:ind w:firstLine="540"/>
        <w:jc w:val="both"/>
      </w:pPr>
      <w:r>
        <w:rPr>
          <w:sz w:val="20"/>
        </w:rPr>
        <w:t xml:space="preserve">7. В </w:t>
      </w:r>
      <w:hyperlink w:history="0" w:anchor="P1448" w:tooltip="9">
        <w:r>
          <w:rPr>
            <w:sz w:val="20"/>
            <w:color w:val="0000ff"/>
          </w:rPr>
          <w:t xml:space="preserve">разделе 9</w:t>
        </w:r>
      </w:hyperlink>
      <w:r>
        <w:rPr>
          <w:sz w:val="20"/>
        </w:rPr>
        <w:t xml:space="preserve"> отражаются данные по начисленным (удержанным) налогам за соответствующий календарный год.</w:t>
      </w:r>
    </w:p>
    <w:p>
      <w:pPr>
        <w:pStyle w:val="0"/>
        <w:spacing w:before="200" w:line-rule="auto"/>
        <w:ind w:firstLine="540"/>
        <w:jc w:val="both"/>
      </w:pPr>
      <w:r>
        <w:rPr>
          <w:sz w:val="20"/>
        </w:rPr>
        <w:t xml:space="preserve">8. Бюджетный эффект </w:t>
      </w:r>
      <w:hyperlink w:history="0" w:anchor="P1540" w:tooltip="10.1">
        <w:r>
          <w:rPr>
            <w:sz w:val="20"/>
            <w:color w:val="0000ff"/>
          </w:rPr>
          <w:t xml:space="preserve">(пункт 10.1)</w:t>
        </w:r>
      </w:hyperlink>
      <w:r>
        <w:rPr>
          <w:sz w:val="20"/>
        </w:rPr>
        <w:t xml:space="preserve"> рассчитывается как разница между уплаченными в консолидированный бюджет Новосибирской области налогами </w:t>
      </w:r>
      <w:hyperlink w:history="0" w:anchor="P1458" w:tooltip="9.2">
        <w:r>
          <w:rPr>
            <w:sz w:val="20"/>
            <w:color w:val="0000ff"/>
          </w:rPr>
          <w:t xml:space="preserve">(пункт 9.2)</w:t>
        </w:r>
      </w:hyperlink>
      <w:r>
        <w:rPr>
          <w:sz w:val="20"/>
        </w:rPr>
        <w:t xml:space="preserve"> и предоставленной из бюджета Новосибирской области государственной поддержкой (</w:t>
      </w:r>
      <w:hyperlink w:history="0" w:anchor="P1368" w:tooltip="8.2">
        <w:r>
          <w:rPr>
            <w:sz w:val="20"/>
            <w:color w:val="0000ff"/>
          </w:rPr>
          <w:t xml:space="preserve">пункты 8.2</w:t>
        </w:r>
      </w:hyperlink>
      <w:r>
        <w:rPr>
          <w:sz w:val="20"/>
        </w:rPr>
        <w:t xml:space="preserve">, </w:t>
      </w:r>
      <w:hyperlink w:history="0" w:anchor="P1432" w:tooltip="8.3">
        <w:r>
          <w:rPr>
            <w:sz w:val="20"/>
            <w:color w:val="0000ff"/>
          </w:rPr>
          <w:t xml:space="preserve">8.3</w:t>
        </w:r>
      </w:hyperlink>
      <w:r>
        <w:rPr>
          <w:sz w:val="20"/>
        </w:rPr>
        <w:t xml:space="preserve">).</w:t>
      </w:r>
    </w:p>
    <w:p>
      <w:pPr>
        <w:pStyle w:val="0"/>
        <w:spacing w:before="200" w:line-rule="auto"/>
        <w:ind w:firstLine="540"/>
        <w:jc w:val="both"/>
      </w:pPr>
      <w:r>
        <w:rPr>
          <w:sz w:val="20"/>
        </w:rPr>
        <w:t xml:space="preserve">9. В </w:t>
      </w:r>
      <w:hyperlink w:history="0" w:anchor="P1566" w:tooltip="11.2">
        <w:r>
          <w:rPr>
            <w:sz w:val="20"/>
            <w:color w:val="0000ff"/>
          </w:rPr>
          <w:t xml:space="preserve">пункте 11.2</w:t>
        </w:r>
      </w:hyperlink>
      <w:r>
        <w:rPr>
          <w:sz w:val="20"/>
        </w:rPr>
        <w:t xml:space="preserve"> указывается создание новых рабочих мест по инвестиционному проекту в течение планового периода.</w:t>
      </w:r>
    </w:p>
    <w:p>
      <w:pPr>
        <w:pStyle w:val="0"/>
        <w:spacing w:before="200" w:line-rule="auto"/>
        <w:ind w:firstLine="540"/>
        <w:jc w:val="both"/>
      </w:pPr>
      <w:r>
        <w:rPr>
          <w:sz w:val="20"/>
        </w:rPr>
        <w:t xml:space="preserve">10. В </w:t>
      </w:r>
      <w:hyperlink w:history="0" w:anchor="P1574" w:tooltip="11.3">
        <w:r>
          <w:rPr>
            <w:sz w:val="20"/>
            <w:color w:val="0000ff"/>
          </w:rPr>
          <w:t xml:space="preserve">пункте 11.3</w:t>
        </w:r>
      </w:hyperlink>
      <w:r>
        <w:rPr>
          <w:sz w:val="20"/>
        </w:rPr>
        <w:t xml:space="preserve"> указывается среднемесячная заработная плата работников инвестора, включая налог на доходы физических лиц.</w:t>
      </w:r>
    </w:p>
    <w:p>
      <w:pPr>
        <w:pStyle w:val="0"/>
        <w:spacing w:before="200" w:line-rule="auto"/>
        <w:ind w:firstLine="540"/>
        <w:jc w:val="both"/>
      </w:pPr>
      <w:r>
        <w:rPr>
          <w:sz w:val="20"/>
        </w:rPr>
        <w:t xml:space="preserve">11. Окупаемость проекта </w:t>
      </w:r>
      <w:hyperlink w:history="0" w:anchor="P1592" w:tooltip="12.1">
        <w:r>
          <w:rPr>
            <w:sz w:val="20"/>
            <w:color w:val="0000ff"/>
          </w:rPr>
          <w:t xml:space="preserve">(пункт 12.1)</w:t>
        </w:r>
      </w:hyperlink>
      <w:r>
        <w:rPr>
          <w:sz w:val="20"/>
        </w:rPr>
        <w:t xml:space="preserve"> рассчитывается в соответствии со </w:t>
      </w:r>
      <w:hyperlink w:history="0" r:id="rId221"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статьей 1</w:t>
        </w:r>
      </w:hyperlink>
      <w:r>
        <w:rPr>
          <w:sz w:val="20"/>
        </w:rP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history="0" w:anchor="P1316" w:tooltip="6.3.1">
        <w:r>
          <w:rPr>
            <w:sz w:val="20"/>
            <w:color w:val="0000ff"/>
          </w:rPr>
          <w:t xml:space="preserve">(пункт 6.3.1)</w:t>
        </w:r>
      </w:hyperlink>
      <w:r>
        <w:rPr>
          <w:sz w:val="20"/>
        </w:rPr>
        <w:t xml:space="preserve"> и амортизации основных средств, используемых в проекте </w:t>
      </w:r>
      <w:hyperlink w:history="0" w:anchor="P1350" w:tooltip="7.2.1">
        <w:r>
          <w:rPr>
            <w:sz w:val="20"/>
            <w:color w:val="0000ff"/>
          </w:rPr>
          <w:t xml:space="preserve">(пункт 7.2.1)</w:t>
        </w:r>
      </w:hyperlink>
      <w:r>
        <w:rPr>
          <w:sz w:val="20"/>
        </w:rPr>
        <w:t xml:space="preserve">, и инвестиционными затратами в форме капитальных вложений без учета налога на добавленную стоимость </w:t>
      </w:r>
      <w:hyperlink w:history="0" w:anchor="P1082" w:tooltip="1.2.1">
        <w:r>
          <w:rPr>
            <w:sz w:val="20"/>
            <w:color w:val="0000ff"/>
          </w:rPr>
          <w:t xml:space="preserve">(пункт 1.2.1)</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19.03.2014 N 104-п</w:t>
            <w:br/>
            <w:t>(ред. от 28.11.2023)</w:t>
            <w:br/>
            <w:t>"О государственной поддержк...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3671&amp;dst=100005" TargetMode = "External"/>
	<Relationship Id="rId8" Type="http://schemas.openxmlformats.org/officeDocument/2006/relationships/hyperlink" Target="https://login.consultant.ru/link/?req=doc&amp;base=RLAW049&amp;n=78062&amp;dst=100005" TargetMode = "External"/>
	<Relationship Id="rId9" Type="http://schemas.openxmlformats.org/officeDocument/2006/relationships/hyperlink" Target="https://login.consultant.ru/link/?req=doc&amp;base=RLAW049&amp;n=83453&amp;dst=100005" TargetMode = "External"/>
	<Relationship Id="rId10" Type="http://schemas.openxmlformats.org/officeDocument/2006/relationships/hyperlink" Target="https://login.consultant.ru/link/?req=doc&amp;base=RLAW049&amp;n=84663&amp;dst=100005" TargetMode = "External"/>
	<Relationship Id="rId11" Type="http://schemas.openxmlformats.org/officeDocument/2006/relationships/hyperlink" Target="https://login.consultant.ru/link/?req=doc&amp;base=RLAW049&amp;n=88043&amp;dst=100005" TargetMode = "External"/>
	<Relationship Id="rId12" Type="http://schemas.openxmlformats.org/officeDocument/2006/relationships/hyperlink" Target="https://login.consultant.ru/link/?req=doc&amp;base=RLAW049&amp;n=93104&amp;dst=100005" TargetMode = "External"/>
	<Relationship Id="rId13" Type="http://schemas.openxmlformats.org/officeDocument/2006/relationships/hyperlink" Target="https://login.consultant.ru/link/?req=doc&amp;base=RLAW049&amp;n=94311&amp;dst=100005" TargetMode = "External"/>
	<Relationship Id="rId14" Type="http://schemas.openxmlformats.org/officeDocument/2006/relationships/hyperlink" Target="https://login.consultant.ru/link/?req=doc&amp;base=RLAW049&amp;n=100932&amp;dst=100005" TargetMode = "External"/>
	<Relationship Id="rId15" Type="http://schemas.openxmlformats.org/officeDocument/2006/relationships/hyperlink" Target="https://login.consultant.ru/link/?req=doc&amp;base=RLAW049&amp;n=108984&amp;dst=100005" TargetMode = "External"/>
	<Relationship Id="rId16" Type="http://schemas.openxmlformats.org/officeDocument/2006/relationships/hyperlink" Target="https://login.consultant.ru/link/?req=doc&amp;base=RLAW049&amp;n=112655&amp;dst=100005" TargetMode = "External"/>
	<Relationship Id="rId17" Type="http://schemas.openxmlformats.org/officeDocument/2006/relationships/hyperlink" Target="https://login.consultant.ru/link/?req=doc&amp;base=RLAW049&amp;n=121617&amp;dst=100005" TargetMode = "External"/>
	<Relationship Id="rId18" Type="http://schemas.openxmlformats.org/officeDocument/2006/relationships/hyperlink" Target="https://login.consultant.ru/link/?req=doc&amp;base=RLAW049&amp;n=129123&amp;dst=100005" TargetMode = "External"/>
	<Relationship Id="rId19" Type="http://schemas.openxmlformats.org/officeDocument/2006/relationships/hyperlink" Target="https://login.consultant.ru/link/?req=doc&amp;base=RLAW049&amp;n=140601&amp;dst=100005" TargetMode = "External"/>
	<Relationship Id="rId20" Type="http://schemas.openxmlformats.org/officeDocument/2006/relationships/hyperlink" Target="https://login.consultant.ru/link/?req=doc&amp;base=RLAW049&amp;n=143154&amp;dst=100009" TargetMode = "External"/>
	<Relationship Id="rId21" Type="http://schemas.openxmlformats.org/officeDocument/2006/relationships/hyperlink" Target="https://login.consultant.ru/link/?req=doc&amp;base=RLAW049&amp;n=160873&amp;dst=100005" TargetMode = "External"/>
	<Relationship Id="rId22" Type="http://schemas.openxmlformats.org/officeDocument/2006/relationships/hyperlink" Target="https://login.consultant.ru/link/?req=doc&amp;base=RLAW049&amp;n=164191&amp;dst=100005" TargetMode = "External"/>
	<Relationship Id="rId23" Type="http://schemas.openxmlformats.org/officeDocument/2006/relationships/hyperlink" Target="https://login.consultant.ru/link/?req=doc&amp;base=RLAW049&amp;n=166450&amp;dst=100005" TargetMode = "External"/>
	<Relationship Id="rId24" Type="http://schemas.openxmlformats.org/officeDocument/2006/relationships/hyperlink" Target="https://login.consultant.ru/link/?req=doc&amp;base=RLAW049&amp;n=167627&amp;dst=100005" TargetMode = "External"/>
	<Relationship Id="rId25" Type="http://schemas.openxmlformats.org/officeDocument/2006/relationships/hyperlink" Target="https://login.consultant.ru/link/?req=doc&amp;base=RLAW049&amp;n=178476&amp;dst=100017" TargetMode = "External"/>
	<Relationship Id="rId26" Type="http://schemas.openxmlformats.org/officeDocument/2006/relationships/hyperlink" Target="https://login.consultant.ru/link/?req=doc&amp;base=RLAW049&amp;n=93104&amp;dst=100006" TargetMode = "External"/>
	<Relationship Id="rId27" Type="http://schemas.openxmlformats.org/officeDocument/2006/relationships/hyperlink" Target="https://login.consultant.ru/link/?req=doc&amp;base=RLAW049&amp;n=121617&amp;dst=100008" TargetMode = "External"/>
	<Relationship Id="rId28" Type="http://schemas.openxmlformats.org/officeDocument/2006/relationships/hyperlink" Target="https://login.consultant.ru/link/?req=doc&amp;base=RLAW049&amp;n=78062&amp;dst=100006" TargetMode = "External"/>
	<Relationship Id="rId29" Type="http://schemas.openxmlformats.org/officeDocument/2006/relationships/hyperlink" Target="https://login.consultant.ru/link/?req=doc&amp;base=RLAW049&amp;n=129123&amp;dst=100006" TargetMode = "External"/>
	<Relationship Id="rId30" Type="http://schemas.openxmlformats.org/officeDocument/2006/relationships/hyperlink" Target="https://login.consultant.ru/link/?req=doc&amp;base=RLAW049&amp;n=67068" TargetMode = "External"/>
	<Relationship Id="rId31" Type="http://schemas.openxmlformats.org/officeDocument/2006/relationships/hyperlink" Target="https://login.consultant.ru/link/?req=doc&amp;base=RLAW049&amp;n=45664" TargetMode = "External"/>
	<Relationship Id="rId32" Type="http://schemas.openxmlformats.org/officeDocument/2006/relationships/hyperlink" Target="https://login.consultant.ru/link/?req=doc&amp;base=RLAW049&amp;n=49172" TargetMode = "External"/>
	<Relationship Id="rId33" Type="http://schemas.openxmlformats.org/officeDocument/2006/relationships/hyperlink" Target="https://login.consultant.ru/link/?req=doc&amp;base=RLAW049&amp;n=52165" TargetMode = "External"/>
	<Relationship Id="rId34" Type="http://schemas.openxmlformats.org/officeDocument/2006/relationships/hyperlink" Target="https://login.consultant.ru/link/?req=doc&amp;base=RLAW049&amp;n=63252" TargetMode = "External"/>
	<Relationship Id="rId35" Type="http://schemas.openxmlformats.org/officeDocument/2006/relationships/hyperlink" Target="https://login.consultant.ru/link/?req=doc&amp;base=RLAW049&amp;n=64298" TargetMode = "External"/>
	<Relationship Id="rId36" Type="http://schemas.openxmlformats.org/officeDocument/2006/relationships/hyperlink" Target="https://login.consultant.ru/link/?req=doc&amp;base=RLAW049&amp;n=67039" TargetMode = "External"/>
	<Relationship Id="rId37" Type="http://schemas.openxmlformats.org/officeDocument/2006/relationships/hyperlink" Target="https://login.consultant.ru/link/?req=doc&amp;base=RLAW049&amp;n=39249" TargetMode = "External"/>
	<Relationship Id="rId38" Type="http://schemas.openxmlformats.org/officeDocument/2006/relationships/hyperlink" Target="https://login.consultant.ru/link/?req=doc&amp;base=RLAW049&amp;n=64857" TargetMode = "External"/>
	<Relationship Id="rId39" Type="http://schemas.openxmlformats.org/officeDocument/2006/relationships/hyperlink" Target="https://login.consultant.ru/link/?req=doc&amp;base=RLAW049&amp;n=108984&amp;dst=100006" TargetMode = "External"/>
	<Relationship Id="rId40" Type="http://schemas.openxmlformats.org/officeDocument/2006/relationships/hyperlink" Target="https://login.consultant.ru/link/?req=doc&amp;base=RLAW049&amp;n=121617&amp;dst=100006" TargetMode = "External"/>
	<Relationship Id="rId41" Type="http://schemas.openxmlformats.org/officeDocument/2006/relationships/hyperlink" Target="https://login.consultant.ru/link/?req=doc&amp;base=RLAW049&amp;n=121617&amp;dst=100007" TargetMode = "External"/>
	<Relationship Id="rId42" Type="http://schemas.openxmlformats.org/officeDocument/2006/relationships/hyperlink" Target="https://login.consultant.ru/link/?req=doc&amp;base=RLAW049&amp;n=129123&amp;dst=100007" TargetMode = "External"/>
	<Relationship Id="rId43" Type="http://schemas.openxmlformats.org/officeDocument/2006/relationships/hyperlink" Target="https://login.consultant.ru/link/?req=doc&amp;base=RLAW049&amp;n=140601&amp;dst=100006" TargetMode = "External"/>
	<Relationship Id="rId44" Type="http://schemas.openxmlformats.org/officeDocument/2006/relationships/hyperlink" Target="https://login.consultant.ru/link/?req=doc&amp;base=RLAW049&amp;n=160873&amp;dst=100006" TargetMode = "External"/>
	<Relationship Id="rId45" Type="http://schemas.openxmlformats.org/officeDocument/2006/relationships/hyperlink" Target="https://login.consultant.ru/link/?req=doc&amp;base=RLAW049&amp;n=164191&amp;dst=100006" TargetMode = "External"/>
	<Relationship Id="rId46" Type="http://schemas.openxmlformats.org/officeDocument/2006/relationships/hyperlink" Target="https://login.consultant.ru/link/?req=doc&amp;base=RLAW049&amp;n=166450&amp;dst=100006" TargetMode = "External"/>
	<Relationship Id="rId47" Type="http://schemas.openxmlformats.org/officeDocument/2006/relationships/hyperlink" Target="https://login.consultant.ru/link/?req=doc&amp;base=LAW&amp;n=482692" TargetMode = "External"/>
	<Relationship Id="rId48" Type="http://schemas.openxmlformats.org/officeDocument/2006/relationships/hyperlink" Target="https://login.consultant.ru/link/?req=doc&amp;base=LAW&amp;n=465769&amp;dst=10" TargetMode = "External"/>
	<Relationship Id="rId49" Type="http://schemas.openxmlformats.org/officeDocument/2006/relationships/hyperlink" Target="https://login.consultant.ru/link/?req=doc&amp;base=RLAW049&amp;n=178476&amp;dst=100017" TargetMode = "External"/>
	<Relationship Id="rId50" Type="http://schemas.openxmlformats.org/officeDocument/2006/relationships/hyperlink" Target="http://econom.nso.ru" TargetMode = "External"/>
	<Relationship Id="rId51" Type="http://schemas.openxmlformats.org/officeDocument/2006/relationships/hyperlink" Target="http://budget.gov.ru" TargetMode = "External"/>
	<Relationship Id="rId52" Type="http://schemas.openxmlformats.org/officeDocument/2006/relationships/hyperlink" Target="https://login.consultant.ru/link/?req=doc&amp;base=RLAW049&amp;n=160873&amp;dst=100007" TargetMode = "External"/>
	<Relationship Id="rId53" Type="http://schemas.openxmlformats.org/officeDocument/2006/relationships/hyperlink" Target="https://login.consultant.ru/link/?req=doc&amp;base=RLAW049&amp;n=178476&amp;dst=100042" TargetMode = "External"/>
	<Relationship Id="rId54" Type="http://schemas.openxmlformats.org/officeDocument/2006/relationships/hyperlink" Target="https://login.consultant.ru/link/?req=doc&amp;base=RLAW049&amp;n=178476&amp;dst=100044" TargetMode = "External"/>
	<Relationship Id="rId55" Type="http://schemas.openxmlformats.org/officeDocument/2006/relationships/hyperlink" Target="https://login.consultant.ru/link/?req=doc&amp;base=RLAW049&amp;n=178476&amp;dst=100210" TargetMode = "External"/>
	<Relationship Id="rId56" Type="http://schemas.openxmlformats.org/officeDocument/2006/relationships/hyperlink" Target="https://login.consultant.ru/link/?req=doc&amp;base=LAW&amp;n=435381&amp;dst=100050" TargetMode = "External"/>
	<Relationship Id="rId57" Type="http://schemas.openxmlformats.org/officeDocument/2006/relationships/hyperlink" Target="https://login.consultant.ru/link/?req=doc&amp;base=RLAW049&amp;n=160873&amp;dst=100021" TargetMode = "External"/>
	<Relationship Id="rId58" Type="http://schemas.openxmlformats.org/officeDocument/2006/relationships/hyperlink" Target="https://login.consultant.ru/link/?req=doc&amp;base=RLAW049&amp;n=178476&amp;dst=100042" TargetMode = "External"/>
	<Relationship Id="rId59" Type="http://schemas.openxmlformats.org/officeDocument/2006/relationships/hyperlink" Target="https://login.consultant.ru/link/?req=doc&amp;base=RLAW049&amp;n=178476&amp;dst=100044" TargetMode = "External"/>
	<Relationship Id="rId60" Type="http://schemas.openxmlformats.org/officeDocument/2006/relationships/hyperlink" Target="https://login.consultant.ru/link/?req=doc&amp;base=RLAW049&amp;n=160873&amp;dst=100023" TargetMode = "External"/>
	<Relationship Id="rId61" Type="http://schemas.openxmlformats.org/officeDocument/2006/relationships/hyperlink" Target="https://login.consultant.ru/link/?req=doc&amp;base=RLAW049&amp;n=140601&amp;dst=100008" TargetMode = "External"/>
	<Relationship Id="rId62" Type="http://schemas.openxmlformats.org/officeDocument/2006/relationships/hyperlink" Target="https://login.consultant.ru/link/?req=doc&amp;base=RLAW049&amp;n=160873&amp;dst=100026" TargetMode = "External"/>
	<Relationship Id="rId63" Type="http://schemas.openxmlformats.org/officeDocument/2006/relationships/hyperlink" Target="https://login.consultant.ru/link/?req=doc&amp;base=RLAW049&amp;n=140601&amp;dst=100010" TargetMode = "External"/>
	<Relationship Id="rId64" Type="http://schemas.openxmlformats.org/officeDocument/2006/relationships/hyperlink" Target="https://login.consultant.ru/link/?req=doc&amp;base=RLAW049&amp;n=160873&amp;dst=100026" TargetMode = "External"/>
	<Relationship Id="rId65" Type="http://schemas.openxmlformats.org/officeDocument/2006/relationships/hyperlink" Target="https://login.consultant.ru/link/?req=doc&amp;base=RLAW049&amp;n=160873&amp;dst=100027" TargetMode = "External"/>
	<Relationship Id="rId66" Type="http://schemas.openxmlformats.org/officeDocument/2006/relationships/hyperlink" Target="https://login.consultant.ru/link/?req=doc&amp;base=RLAW049&amp;n=164191&amp;dst=100006" TargetMode = "External"/>
	<Relationship Id="rId67" Type="http://schemas.openxmlformats.org/officeDocument/2006/relationships/hyperlink" Target="https://login.consultant.ru/link/?req=doc&amp;base=RLAW049&amp;n=160873&amp;dst=100029" TargetMode = "External"/>
	<Relationship Id="rId68" Type="http://schemas.openxmlformats.org/officeDocument/2006/relationships/hyperlink" Target="https://login.consultant.ru/link/?req=doc&amp;base=RLAW049&amp;n=168983&amp;dst=100039" TargetMode = "External"/>
	<Relationship Id="rId69" Type="http://schemas.openxmlformats.org/officeDocument/2006/relationships/hyperlink" Target="https://login.consultant.ru/link/?req=doc&amp;base=RLAW049&amp;n=140601&amp;dst=100011" TargetMode = "External"/>
	<Relationship Id="rId70" Type="http://schemas.openxmlformats.org/officeDocument/2006/relationships/hyperlink" Target="https://login.consultant.ru/link/?req=doc&amp;base=RLAW049&amp;n=160873&amp;dst=100030" TargetMode = "External"/>
	<Relationship Id="rId71" Type="http://schemas.openxmlformats.org/officeDocument/2006/relationships/hyperlink" Target="https://login.consultant.ru/link/?req=doc&amp;base=RLAW049&amp;n=140601&amp;dst=100013" TargetMode = "External"/>
	<Relationship Id="rId72" Type="http://schemas.openxmlformats.org/officeDocument/2006/relationships/hyperlink" Target="https://login.consultant.ru/link/?req=doc&amp;base=RLAW049&amp;n=160873&amp;dst=100033" TargetMode = "External"/>
	<Relationship Id="rId73" Type="http://schemas.openxmlformats.org/officeDocument/2006/relationships/hyperlink" Target="https://login.consultant.ru/link/?req=doc&amp;base=LAW&amp;n=404854&amp;dst=100028" TargetMode = "External"/>
	<Relationship Id="rId74" Type="http://schemas.openxmlformats.org/officeDocument/2006/relationships/hyperlink" Target="https://login.consultant.ru/link/?req=doc&amp;base=RLAW049&amp;n=160873&amp;dst=100034" TargetMode = "External"/>
	<Relationship Id="rId75" Type="http://schemas.openxmlformats.org/officeDocument/2006/relationships/hyperlink" Target="https://login.consultant.ru/link/?req=doc&amp;base=RLAW049&amp;n=140601&amp;dst=100014" TargetMode = "External"/>
	<Relationship Id="rId76" Type="http://schemas.openxmlformats.org/officeDocument/2006/relationships/hyperlink" Target="https://login.consultant.ru/link/?req=doc&amp;base=RLAW049&amp;n=160873&amp;dst=100036" TargetMode = "External"/>
	<Relationship Id="rId77" Type="http://schemas.openxmlformats.org/officeDocument/2006/relationships/hyperlink" Target="https://login.consultant.ru/link/?req=doc&amp;base=RLAW049&amp;n=140601&amp;dst=100015" TargetMode = "External"/>
	<Relationship Id="rId78" Type="http://schemas.openxmlformats.org/officeDocument/2006/relationships/hyperlink" Target="https://invest.nso.ru" TargetMode = "External"/>
	<Relationship Id="rId79" Type="http://schemas.openxmlformats.org/officeDocument/2006/relationships/hyperlink" Target="https://login.consultant.ru/link/?req=doc&amp;base=RLAW049&amp;n=160873&amp;dst=100038" TargetMode = "External"/>
	<Relationship Id="rId80" Type="http://schemas.openxmlformats.org/officeDocument/2006/relationships/hyperlink" Target="https://login.consultant.ru/link/?req=doc&amp;base=RLAW049&amp;n=160873&amp;dst=100040" TargetMode = "External"/>
	<Relationship Id="rId81" Type="http://schemas.openxmlformats.org/officeDocument/2006/relationships/hyperlink" Target="https://login.consultant.ru/link/?req=doc&amp;base=RLAW049&amp;n=160873&amp;dst=100042" TargetMode = "External"/>
	<Relationship Id="rId82" Type="http://schemas.openxmlformats.org/officeDocument/2006/relationships/hyperlink" Target="https://login.consultant.ru/link/?req=doc&amp;base=RLAW049&amp;n=178476&amp;dst=100210" TargetMode = "External"/>
	<Relationship Id="rId83" Type="http://schemas.openxmlformats.org/officeDocument/2006/relationships/hyperlink" Target="https://login.consultant.ru/link/?req=doc&amp;base=LAW&amp;n=435381&amp;dst=100050" TargetMode = "External"/>
	<Relationship Id="rId84" Type="http://schemas.openxmlformats.org/officeDocument/2006/relationships/hyperlink" Target="https://login.consultant.ru/link/?req=doc&amp;base=RLAW049&amp;n=160873&amp;dst=100043" TargetMode = "External"/>
	<Relationship Id="rId85" Type="http://schemas.openxmlformats.org/officeDocument/2006/relationships/hyperlink" Target="https://login.consultant.ru/link/?req=doc&amp;base=RLAW049&amp;n=178476&amp;dst=100042" TargetMode = "External"/>
	<Relationship Id="rId86" Type="http://schemas.openxmlformats.org/officeDocument/2006/relationships/hyperlink" Target="https://login.consultant.ru/link/?req=doc&amp;base=RLAW049&amp;n=178476&amp;dst=100044" TargetMode = "External"/>
	<Relationship Id="rId87" Type="http://schemas.openxmlformats.org/officeDocument/2006/relationships/hyperlink" Target="https://login.consultant.ru/link/?req=doc&amp;base=RLAW049&amp;n=178476&amp;dst=100042" TargetMode = "External"/>
	<Relationship Id="rId88" Type="http://schemas.openxmlformats.org/officeDocument/2006/relationships/hyperlink" Target="https://login.consultant.ru/link/?req=doc&amp;base=RLAW049&amp;n=178476&amp;dst=100044" TargetMode = "External"/>
	<Relationship Id="rId89" Type="http://schemas.openxmlformats.org/officeDocument/2006/relationships/hyperlink" Target="https://login.consultant.ru/link/?req=doc&amp;base=RLAW049&amp;n=160873&amp;dst=100048" TargetMode = "External"/>
	<Relationship Id="rId90" Type="http://schemas.openxmlformats.org/officeDocument/2006/relationships/hyperlink" Target="https://login.consultant.ru/link/?req=doc&amp;base=RLAW049&amp;n=160873&amp;dst=100049" TargetMode = "External"/>
	<Relationship Id="rId91" Type="http://schemas.openxmlformats.org/officeDocument/2006/relationships/hyperlink" Target="https://login.consultant.ru/link/?req=doc&amp;base=RLAW049&amp;n=129123&amp;dst=100008" TargetMode = "External"/>
	<Relationship Id="rId92" Type="http://schemas.openxmlformats.org/officeDocument/2006/relationships/hyperlink" Target="https://login.consultant.ru/link/?req=doc&amp;base=RLAW049&amp;n=160873&amp;dst=100050" TargetMode = "External"/>
	<Relationship Id="rId93" Type="http://schemas.openxmlformats.org/officeDocument/2006/relationships/hyperlink" Target="https://login.consultant.ru/link/?req=doc&amp;base=RLAW049&amp;n=129123&amp;dst=100008" TargetMode = "External"/>
	<Relationship Id="rId94" Type="http://schemas.openxmlformats.org/officeDocument/2006/relationships/hyperlink" Target="https://login.consultant.ru/link/?req=doc&amp;base=RLAW049&amp;n=129123&amp;dst=100009" TargetMode = "External"/>
	<Relationship Id="rId95" Type="http://schemas.openxmlformats.org/officeDocument/2006/relationships/hyperlink" Target="https://login.consultant.ru/link/?req=doc&amp;base=RLAW049&amp;n=160873&amp;dst=100051" TargetMode = "External"/>
	<Relationship Id="rId96" Type="http://schemas.openxmlformats.org/officeDocument/2006/relationships/hyperlink" Target="https://login.consultant.ru/link/?req=doc&amp;base=RLAW049&amp;n=160873&amp;dst=100051" TargetMode = "External"/>
	<Relationship Id="rId97" Type="http://schemas.openxmlformats.org/officeDocument/2006/relationships/hyperlink" Target="www.invest.nso.ru" TargetMode = "External"/>
	<Relationship Id="rId98" Type="http://schemas.openxmlformats.org/officeDocument/2006/relationships/hyperlink" Target="https://login.consultant.ru/link/?req=doc&amp;base=RLAW049&amp;n=129123&amp;dst=100010" TargetMode = "External"/>
	<Relationship Id="rId99" Type="http://schemas.openxmlformats.org/officeDocument/2006/relationships/hyperlink" Target="https://login.consultant.ru/link/?req=doc&amp;base=RLAW049&amp;n=160873&amp;dst=100052" TargetMode = "External"/>
	<Relationship Id="rId100" Type="http://schemas.openxmlformats.org/officeDocument/2006/relationships/hyperlink" Target="https://login.consultant.ru/link/?req=doc&amp;base=RLAW049&amp;n=178476&amp;dst=100042" TargetMode = "External"/>
	<Relationship Id="rId101" Type="http://schemas.openxmlformats.org/officeDocument/2006/relationships/hyperlink" Target="https://login.consultant.ru/link/?req=doc&amp;base=RLAW049&amp;n=178476&amp;dst=100044" TargetMode = "External"/>
	<Relationship Id="rId102" Type="http://schemas.openxmlformats.org/officeDocument/2006/relationships/hyperlink" Target="https://login.consultant.ru/link/?req=doc&amp;base=RLAW049&amp;n=140601&amp;dst=100018" TargetMode = "External"/>
	<Relationship Id="rId103" Type="http://schemas.openxmlformats.org/officeDocument/2006/relationships/hyperlink" Target="https://login.consultant.ru/link/?req=doc&amp;base=RLAW049&amp;n=160873&amp;dst=100056" TargetMode = "External"/>
	<Relationship Id="rId104" Type="http://schemas.openxmlformats.org/officeDocument/2006/relationships/hyperlink" Target="https://login.consultant.ru/link/?req=doc&amp;base=RLAW049&amp;n=160873&amp;dst=100057" TargetMode = "External"/>
	<Relationship Id="rId105" Type="http://schemas.openxmlformats.org/officeDocument/2006/relationships/hyperlink" Target="https://login.consultant.ru/link/?req=doc&amp;base=RLAW049&amp;n=160873&amp;dst=100061" TargetMode = "External"/>
	<Relationship Id="rId106" Type="http://schemas.openxmlformats.org/officeDocument/2006/relationships/hyperlink" Target="https://login.consultant.ru/link/?req=doc&amp;base=RLAW049&amp;n=177231" TargetMode = "External"/>
	<Relationship Id="rId107" Type="http://schemas.openxmlformats.org/officeDocument/2006/relationships/hyperlink" Target="https://login.consultant.ru/link/?req=doc&amp;base=LAW&amp;n=491114" TargetMode = "External"/>
	<Relationship Id="rId108" Type="http://schemas.openxmlformats.org/officeDocument/2006/relationships/hyperlink" Target="https://login.consultant.ru/link/?req=doc&amp;base=RLAW049&amp;n=160873&amp;dst=100061" TargetMode = "External"/>
	<Relationship Id="rId109" Type="http://schemas.openxmlformats.org/officeDocument/2006/relationships/hyperlink" Target="https://login.consultant.ru/link/?req=doc&amp;base=RLAW049&amp;n=160873&amp;dst=100062" TargetMode = "External"/>
	<Relationship Id="rId110" Type="http://schemas.openxmlformats.org/officeDocument/2006/relationships/hyperlink" Target="https://login.consultant.ru/link/?req=doc&amp;base=RLAW049&amp;n=160873&amp;dst=100062" TargetMode = "External"/>
	<Relationship Id="rId111" Type="http://schemas.openxmlformats.org/officeDocument/2006/relationships/hyperlink" Target="https://login.consultant.ru/link/?req=doc&amp;base=RLAW049&amp;n=160873&amp;dst=100062" TargetMode = "External"/>
	<Relationship Id="rId112" Type="http://schemas.openxmlformats.org/officeDocument/2006/relationships/hyperlink" Target="https://login.consultant.ru/link/?req=doc&amp;base=RLAW049&amp;n=160873&amp;dst=100063" TargetMode = "External"/>
	<Relationship Id="rId113" Type="http://schemas.openxmlformats.org/officeDocument/2006/relationships/hyperlink" Target="https://login.consultant.ru/link/?req=doc&amp;base=LAW&amp;n=433153&amp;dst=100693" TargetMode = "External"/>
	<Relationship Id="rId114" Type="http://schemas.openxmlformats.org/officeDocument/2006/relationships/hyperlink" Target="https://login.consultant.ru/link/?req=doc&amp;base=RLAW049&amp;n=166450&amp;dst=100006" TargetMode = "External"/>
	<Relationship Id="rId115" Type="http://schemas.openxmlformats.org/officeDocument/2006/relationships/hyperlink" Target="https://pb.nalog.ru/calculator.html" TargetMode = "External"/>
	<Relationship Id="rId116" Type="http://schemas.openxmlformats.org/officeDocument/2006/relationships/hyperlink" Target="https://login.consultant.ru/link/?req=doc&amp;base=RLAW049&amp;n=166450&amp;dst=100008" TargetMode = "External"/>
	<Relationship Id="rId117" Type="http://schemas.openxmlformats.org/officeDocument/2006/relationships/hyperlink" Target="https://login.consultant.ru/link/?req=doc&amp;base=RLAW049&amp;n=160873&amp;dst=100064" TargetMode = "External"/>
	<Relationship Id="rId118" Type="http://schemas.openxmlformats.org/officeDocument/2006/relationships/hyperlink" Target="https://login.consultant.ru/link/?req=doc&amp;base=RLAW049&amp;n=160873&amp;dst=100064" TargetMode = "External"/>
	<Relationship Id="rId119" Type="http://schemas.openxmlformats.org/officeDocument/2006/relationships/hyperlink" Target="https://login.consultant.ru/link/?req=doc&amp;base=RLAW049&amp;n=177231&amp;dst=100153" TargetMode = "External"/>
	<Relationship Id="rId120" Type="http://schemas.openxmlformats.org/officeDocument/2006/relationships/hyperlink" Target="https://login.consultant.ru/link/?req=doc&amp;base=RLAW049&amp;n=160873&amp;dst=100064" TargetMode = "External"/>
	<Relationship Id="rId121" Type="http://schemas.openxmlformats.org/officeDocument/2006/relationships/hyperlink" Target="https://login.consultant.ru/link/?req=doc&amp;base=RLAW049&amp;n=160873&amp;dst=100065" TargetMode = "External"/>
	<Relationship Id="rId122" Type="http://schemas.openxmlformats.org/officeDocument/2006/relationships/hyperlink" Target="https://login.consultant.ru/link/?req=doc&amp;base=RLAW049&amp;n=178476&amp;dst=100175" TargetMode = "External"/>
	<Relationship Id="rId123" Type="http://schemas.openxmlformats.org/officeDocument/2006/relationships/hyperlink" Target="https://login.consultant.ru/link/?req=doc&amp;base=LAW&amp;n=435381&amp;dst=100050" TargetMode = "External"/>
	<Relationship Id="rId124" Type="http://schemas.openxmlformats.org/officeDocument/2006/relationships/hyperlink" Target="https://login.consultant.ru/link/?req=doc&amp;base=RLAW049&amp;n=160873&amp;dst=100067" TargetMode = "External"/>
	<Relationship Id="rId125" Type="http://schemas.openxmlformats.org/officeDocument/2006/relationships/hyperlink" Target="https://login.consultant.ru/link/?req=doc&amp;base=RLAW049&amp;n=160873&amp;dst=100069" TargetMode = "External"/>
	<Relationship Id="rId126" Type="http://schemas.openxmlformats.org/officeDocument/2006/relationships/hyperlink" Target="https://login.consultant.ru/link/?req=doc&amp;base=RLAW049&amp;n=160873&amp;dst=100069" TargetMode = "External"/>
	<Relationship Id="rId127" Type="http://schemas.openxmlformats.org/officeDocument/2006/relationships/hyperlink" Target="https://login.consultant.ru/link/?req=doc&amp;base=RLAW049&amp;n=160873&amp;dst=100069" TargetMode = "External"/>
	<Relationship Id="rId128" Type="http://schemas.openxmlformats.org/officeDocument/2006/relationships/hyperlink" Target="https://login.consultant.ru/link/?req=doc&amp;base=RLAW049&amp;n=140601&amp;dst=100020" TargetMode = "External"/>
	<Relationship Id="rId129" Type="http://schemas.openxmlformats.org/officeDocument/2006/relationships/hyperlink" Target="https://login.consultant.ru/link/?req=doc&amp;base=RLAW049&amp;n=160873&amp;dst=100069" TargetMode = "External"/>
	<Relationship Id="rId130" Type="http://schemas.openxmlformats.org/officeDocument/2006/relationships/hyperlink" Target="https://login.consultant.ru/link/?req=doc&amp;base=RLAW049&amp;n=160873&amp;dst=100070" TargetMode = "External"/>
	<Relationship Id="rId131" Type="http://schemas.openxmlformats.org/officeDocument/2006/relationships/hyperlink" Target="https://login.consultant.ru/link/?req=doc&amp;base=RLAW049&amp;n=164191&amp;dst=100006" TargetMode = "External"/>
	<Relationship Id="rId132" Type="http://schemas.openxmlformats.org/officeDocument/2006/relationships/hyperlink" Target="https://login.consultant.ru/link/?req=doc&amp;base=RLAW049&amp;n=160873&amp;dst=100072" TargetMode = "External"/>
	<Relationship Id="rId133" Type="http://schemas.openxmlformats.org/officeDocument/2006/relationships/hyperlink" Target="https://login.consultant.ru/link/?req=doc&amp;base=RLAW049&amp;n=160873&amp;dst=100074" TargetMode = "External"/>
	<Relationship Id="rId134" Type="http://schemas.openxmlformats.org/officeDocument/2006/relationships/hyperlink" Target="https://login.consultant.ru/link/?req=doc&amp;base=RLAW049&amp;n=176055" TargetMode = "External"/>
	<Relationship Id="rId135" Type="http://schemas.openxmlformats.org/officeDocument/2006/relationships/hyperlink" Target="https://login.consultant.ru/link/?req=doc&amp;base=RLAW049&amp;n=160873&amp;dst=100075" TargetMode = "External"/>
	<Relationship Id="rId136" Type="http://schemas.openxmlformats.org/officeDocument/2006/relationships/hyperlink" Target="https://login.consultant.ru/link/?req=doc&amp;base=RLAW049&amp;n=160873&amp;dst=100076" TargetMode = "External"/>
	<Relationship Id="rId137" Type="http://schemas.openxmlformats.org/officeDocument/2006/relationships/hyperlink" Target="https://login.consultant.ru/link/?req=doc&amp;base=RLAW049&amp;n=178476" TargetMode = "External"/>
	<Relationship Id="rId138" Type="http://schemas.openxmlformats.org/officeDocument/2006/relationships/hyperlink" Target="https://login.consultant.ru/link/?req=doc&amp;base=LAW&amp;n=465769&amp;dst=100011" TargetMode = "External"/>
	<Relationship Id="rId139" Type="http://schemas.openxmlformats.org/officeDocument/2006/relationships/hyperlink" Target="https://login.consultant.ru/link/?req=doc&amp;base=RLAW049&amp;n=121617&amp;dst=100008" TargetMode = "External"/>
	<Relationship Id="rId140" Type="http://schemas.openxmlformats.org/officeDocument/2006/relationships/hyperlink" Target="https://login.consultant.ru/link/?req=doc&amp;base=RLAW049&amp;n=121617&amp;dst=100009" TargetMode = "External"/>
	<Relationship Id="rId141" Type="http://schemas.openxmlformats.org/officeDocument/2006/relationships/hyperlink" Target="https://login.consultant.ru/link/?req=doc&amp;base=RLAW049&amp;n=129123&amp;dst=100013" TargetMode = "External"/>
	<Relationship Id="rId142" Type="http://schemas.openxmlformats.org/officeDocument/2006/relationships/hyperlink" Target="https://login.consultant.ru/link/?req=doc&amp;base=RLAW049&amp;n=140601&amp;dst=100021" TargetMode = "External"/>
	<Relationship Id="rId143" Type="http://schemas.openxmlformats.org/officeDocument/2006/relationships/hyperlink" Target="https://login.consultant.ru/link/?req=doc&amp;base=RLAW049&amp;n=160873&amp;dst=100077" TargetMode = "External"/>
	<Relationship Id="rId144" Type="http://schemas.openxmlformats.org/officeDocument/2006/relationships/hyperlink" Target="https://login.consultant.ru/link/?req=doc&amp;base=RLAW049&amp;n=167627&amp;dst=100006" TargetMode = "External"/>
	<Relationship Id="rId145" Type="http://schemas.openxmlformats.org/officeDocument/2006/relationships/hyperlink" Target="https://login.consultant.ru/link/?req=doc&amp;base=RLAW049&amp;n=160873&amp;dst=100079" TargetMode = "External"/>
	<Relationship Id="rId146" Type="http://schemas.openxmlformats.org/officeDocument/2006/relationships/hyperlink" Target="https://login.consultant.ru/link/?req=doc&amp;base=RLAW049&amp;n=160873&amp;dst=100080" TargetMode = "External"/>
	<Relationship Id="rId147" Type="http://schemas.openxmlformats.org/officeDocument/2006/relationships/hyperlink" Target="https://login.consultant.ru/link/?req=doc&amp;base=RLAW049&amp;n=129123&amp;dst=100013" TargetMode = "External"/>
	<Relationship Id="rId148" Type="http://schemas.openxmlformats.org/officeDocument/2006/relationships/hyperlink" Target="https://login.consultant.ru/link/?req=doc&amp;base=RLAW049&amp;n=178476&amp;dst=100072" TargetMode = "External"/>
	<Relationship Id="rId149" Type="http://schemas.openxmlformats.org/officeDocument/2006/relationships/hyperlink" Target="https://login.consultant.ru/link/?req=doc&amp;base=RLAW049&amp;n=178476&amp;dst=100081" TargetMode = "External"/>
	<Relationship Id="rId150" Type="http://schemas.openxmlformats.org/officeDocument/2006/relationships/hyperlink" Target="https://login.consultant.ru/link/?req=doc&amp;base=RLAW049&amp;n=178468" TargetMode = "External"/>
	<Relationship Id="rId151" Type="http://schemas.openxmlformats.org/officeDocument/2006/relationships/hyperlink" Target="https://login.consultant.ru/link/?req=doc&amp;base=RLAW049&amp;n=160873&amp;dst=100081" TargetMode = "External"/>
	<Relationship Id="rId152" Type="http://schemas.openxmlformats.org/officeDocument/2006/relationships/hyperlink" Target="https://login.consultant.ru/link/?req=doc&amp;base=RLAW049&amp;n=167627&amp;dst=100006" TargetMode = "External"/>
	<Relationship Id="rId153" Type="http://schemas.openxmlformats.org/officeDocument/2006/relationships/hyperlink" Target="https://login.consultant.ru/link/?req=doc&amp;base=RLAW049&amp;n=160873&amp;dst=100082" TargetMode = "External"/>
	<Relationship Id="rId154" Type="http://schemas.openxmlformats.org/officeDocument/2006/relationships/hyperlink" Target="https://login.consultant.ru/link/?req=doc&amp;base=RLAW049&amp;n=178476&amp;dst=100051" TargetMode = "External"/>
	<Relationship Id="rId155" Type="http://schemas.openxmlformats.org/officeDocument/2006/relationships/hyperlink" Target="https://login.consultant.ru/link/?req=doc&amp;base=RLAW049&amp;n=177231" TargetMode = "External"/>
	<Relationship Id="rId156" Type="http://schemas.openxmlformats.org/officeDocument/2006/relationships/hyperlink" Target="https://login.consultant.ru/link/?req=doc&amp;base=RLAW049&amp;n=140601&amp;dst=100021" TargetMode = "External"/>
	<Relationship Id="rId157" Type="http://schemas.openxmlformats.org/officeDocument/2006/relationships/hyperlink" Target="https://login.consultant.ru/link/?req=doc&amp;base=RLAW049&amp;n=177231" TargetMode = "External"/>
	<Relationship Id="rId158" Type="http://schemas.openxmlformats.org/officeDocument/2006/relationships/hyperlink" Target="https://login.consultant.ru/link/?req=doc&amp;base=RLAW049&amp;n=176055&amp;dst=112796" TargetMode = "External"/>
	<Relationship Id="rId159" Type="http://schemas.openxmlformats.org/officeDocument/2006/relationships/hyperlink" Target="https://login.consultant.ru/link/?req=doc&amp;base=RLAW049&amp;n=124472&amp;dst=100008" TargetMode = "External"/>
	<Relationship Id="rId160" Type="http://schemas.openxmlformats.org/officeDocument/2006/relationships/hyperlink" Target="https://login.consultant.ru/link/?req=doc&amp;base=RLAW049&amp;n=160873&amp;dst=100083" TargetMode = "External"/>
	<Relationship Id="rId161" Type="http://schemas.openxmlformats.org/officeDocument/2006/relationships/hyperlink" Target="https://login.consultant.ru/link/?req=doc&amp;base=RLAW049&amp;n=160873&amp;dst=100085" TargetMode = "External"/>
	<Relationship Id="rId162" Type="http://schemas.openxmlformats.org/officeDocument/2006/relationships/hyperlink" Target="https://login.consultant.ru/link/?req=doc&amp;base=RLAW049&amp;n=160873&amp;dst=100086" TargetMode = "External"/>
	<Relationship Id="rId163" Type="http://schemas.openxmlformats.org/officeDocument/2006/relationships/hyperlink" Target="https://login.consultant.ru/link/?req=doc&amp;base=RLAW049&amp;n=108984&amp;dst=100008" TargetMode = "External"/>
	<Relationship Id="rId164" Type="http://schemas.openxmlformats.org/officeDocument/2006/relationships/hyperlink" Target="https://login.consultant.ru/link/?req=doc&amp;base=RLAW049&amp;n=121617&amp;dst=100010" TargetMode = "External"/>
	<Relationship Id="rId165" Type="http://schemas.openxmlformats.org/officeDocument/2006/relationships/hyperlink" Target="https://login.consultant.ru/link/?req=doc&amp;base=RLAW049&amp;n=140601&amp;dst=100022" TargetMode = "External"/>
	<Relationship Id="rId166" Type="http://schemas.openxmlformats.org/officeDocument/2006/relationships/hyperlink" Target="https://login.consultant.ru/link/?req=doc&amp;base=RLAW049&amp;n=143154&amp;dst=100010" TargetMode = "External"/>
	<Relationship Id="rId167" Type="http://schemas.openxmlformats.org/officeDocument/2006/relationships/hyperlink" Target="https://login.consultant.ru/link/?req=doc&amp;base=RLAW049&amp;n=160873&amp;dst=100087" TargetMode = "External"/>
	<Relationship Id="rId168" Type="http://schemas.openxmlformats.org/officeDocument/2006/relationships/hyperlink" Target="https://login.consultant.ru/link/?req=doc&amp;base=RLAW049&amp;n=164191&amp;dst=100008" TargetMode = "External"/>
	<Relationship Id="rId169" Type="http://schemas.openxmlformats.org/officeDocument/2006/relationships/hyperlink" Target="https://login.consultant.ru/link/?req=doc&amp;base=RLAW049&amp;n=121617&amp;dst=100027" TargetMode = "External"/>
	<Relationship Id="rId170" Type="http://schemas.openxmlformats.org/officeDocument/2006/relationships/hyperlink" Target="https://login.consultant.ru/link/?req=doc&amp;base=RLAW049&amp;n=140601&amp;dst=100029" TargetMode = "External"/>
	<Relationship Id="rId171" Type="http://schemas.openxmlformats.org/officeDocument/2006/relationships/hyperlink" Target="https://login.consultant.ru/link/?req=doc&amp;base=RLAW049&amp;n=160873&amp;dst=100094" TargetMode = "External"/>
	<Relationship Id="rId172" Type="http://schemas.openxmlformats.org/officeDocument/2006/relationships/hyperlink" Target="https://login.consultant.ru/link/?req=doc&amp;base=RLAW049&amp;n=166450&amp;dst=100009" TargetMode = "External"/>
	<Relationship Id="rId173" Type="http://schemas.openxmlformats.org/officeDocument/2006/relationships/hyperlink" Target="https://login.consultant.ru/link/?req=doc&amp;base=RLAW049&amp;n=167627&amp;dst=100007" TargetMode = "External"/>
	<Relationship Id="rId174" Type="http://schemas.openxmlformats.org/officeDocument/2006/relationships/hyperlink" Target="https://login.consultant.ru/link/?req=doc&amp;base=RLAW049&amp;n=178476&amp;dst=100018" TargetMode = "External"/>
	<Relationship Id="rId175" Type="http://schemas.openxmlformats.org/officeDocument/2006/relationships/hyperlink" Target="https://login.consultant.ru/link/?req=doc&amp;base=RLAW049&amp;n=178476&amp;dst=100042" TargetMode = "External"/>
	<Relationship Id="rId176" Type="http://schemas.openxmlformats.org/officeDocument/2006/relationships/hyperlink" Target="https://login.consultant.ru/link/?req=doc&amp;base=RLAW049&amp;n=178476&amp;dst=100044" TargetMode = "External"/>
	<Relationship Id="rId177" Type="http://schemas.openxmlformats.org/officeDocument/2006/relationships/hyperlink" Target="https://login.consultant.ru/link/?req=doc&amp;base=RLAW049&amp;n=160873&amp;dst=100095" TargetMode = "External"/>
	<Relationship Id="rId178" Type="http://schemas.openxmlformats.org/officeDocument/2006/relationships/hyperlink" Target="https://login.consultant.ru/link/?req=doc&amp;base=RLAW049&amp;n=160873&amp;dst=100096" TargetMode = "External"/>
	<Relationship Id="rId179" Type="http://schemas.openxmlformats.org/officeDocument/2006/relationships/hyperlink" Target="https://login.consultant.ru/link/?req=doc&amp;base=RLAW049&amp;n=167627&amp;dst=100007" TargetMode = "External"/>
	<Relationship Id="rId180" Type="http://schemas.openxmlformats.org/officeDocument/2006/relationships/hyperlink" Target="https://login.consultant.ru/link/?req=doc&amp;base=RLAW049&amp;n=167627&amp;dst=100007" TargetMode = "External"/>
	<Relationship Id="rId181" Type="http://schemas.openxmlformats.org/officeDocument/2006/relationships/hyperlink" Target="https://login.consultant.ru/link/?req=doc&amp;base=RLAW049&amp;n=177231" TargetMode = "External"/>
	<Relationship Id="rId182" Type="http://schemas.openxmlformats.org/officeDocument/2006/relationships/hyperlink" Target="https://login.consultant.ru/link/?req=doc&amp;base=RLAW049&amp;n=166450&amp;dst=100009" TargetMode = "External"/>
	<Relationship Id="rId183" Type="http://schemas.openxmlformats.org/officeDocument/2006/relationships/hyperlink" Target="https://login.consultant.ru/link/?req=doc&amp;base=RLAW049&amp;n=176055&amp;dst=112796" TargetMode = "External"/>
	<Relationship Id="rId184" Type="http://schemas.openxmlformats.org/officeDocument/2006/relationships/hyperlink" Target="https://login.consultant.ru/link/?req=doc&amp;base=RLAW049&amp;n=133612" TargetMode = "External"/>
	<Relationship Id="rId185" Type="http://schemas.openxmlformats.org/officeDocument/2006/relationships/hyperlink" Target="https://login.consultant.ru/link/?req=doc&amp;base=RLAW049&amp;n=140601&amp;dst=100029" TargetMode = "External"/>
	<Relationship Id="rId186" Type="http://schemas.openxmlformats.org/officeDocument/2006/relationships/hyperlink" Target="https://login.consultant.ru/link/?req=doc&amp;base=RLAW049&amp;n=160873&amp;dst=100097" TargetMode = "External"/>
	<Relationship Id="rId187" Type="http://schemas.openxmlformats.org/officeDocument/2006/relationships/hyperlink" Target="https://login.consultant.ru/link/?req=doc&amp;base=RLAW049&amp;n=160873&amp;dst=100098" TargetMode = "External"/>
	<Relationship Id="rId188" Type="http://schemas.openxmlformats.org/officeDocument/2006/relationships/hyperlink" Target="https://login.consultant.ru/link/?req=doc&amp;base=RLAW049&amp;n=167627&amp;dst=100007" TargetMode = "External"/>
	<Relationship Id="rId189" Type="http://schemas.openxmlformats.org/officeDocument/2006/relationships/hyperlink" Target="https://login.consultant.ru/link/?req=doc&amp;base=RLAW049&amp;n=167627&amp;dst=100007" TargetMode = "External"/>
	<Relationship Id="rId190" Type="http://schemas.openxmlformats.org/officeDocument/2006/relationships/hyperlink" Target="https://login.consultant.ru/link/?req=doc&amp;base=RLAW049&amp;n=167627&amp;dst=100007" TargetMode = "External"/>
	<Relationship Id="rId191" Type="http://schemas.openxmlformats.org/officeDocument/2006/relationships/hyperlink" Target="https://login.consultant.ru/link/?req=doc&amp;base=RLAW049&amp;n=167627&amp;dst=100007" TargetMode = "External"/>
	<Relationship Id="rId192" Type="http://schemas.openxmlformats.org/officeDocument/2006/relationships/hyperlink" Target="https://login.consultant.ru/link/?req=doc&amp;base=RLAW049&amp;n=160873&amp;dst=100099" TargetMode = "External"/>
	<Relationship Id="rId193" Type="http://schemas.openxmlformats.org/officeDocument/2006/relationships/hyperlink" Target="https://login.consultant.ru/link/?req=doc&amp;base=RLAW049&amp;n=121617&amp;dst=100028" TargetMode = "External"/>
	<Relationship Id="rId194" Type="http://schemas.openxmlformats.org/officeDocument/2006/relationships/hyperlink" Target="https://login.consultant.ru/link/?req=doc&amp;base=RLAW049&amp;n=129123&amp;dst=100014" TargetMode = "External"/>
	<Relationship Id="rId195" Type="http://schemas.openxmlformats.org/officeDocument/2006/relationships/hyperlink" Target="https://login.consultant.ru/link/?req=doc&amp;base=RLAW049&amp;n=140601&amp;dst=100030" TargetMode = "External"/>
	<Relationship Id="rId196" Type="http://schemas.openxmlformats.org/officeDocument/2006/relationships/hyperlink" Target="https://login.consultant.ru/link/?req=doc&amp;base=RLAW049&amp;n=160873&amp;dst=100100" TargetMode = "External"/>
	<Relationship Id="rId197" Type="http://schemas.openxmlformats.org/officeDocument/2006/relationships/hyperlink" Target="https://login.consultant.ru/link/?req=doc&amp;base=RLAW049&amp;n=164191&amp;dst=100007" TargetMode = "External"/>
	<Relationship Id="rId198" Type="http://schemas.openxmlformats.org/officeDocument/2006/relationships/hyperlink" Target="https://login.consultant.ru/link/?req=doc&amp;base=RLAW049&amp;n=167627&amp;dst=100008" TargetMode = "External"/>
	<Relationship Id="rId199" Type="http://schemas.openxmlformats.org/officeDocument/2006/relationships/hyperlink" Target="https://login.consultant.ru/link/?req=doc&amp;base=RLAW049&amp;n=178476&amp;dst=100020" TargetMode = "External"/>
	<Relationship Id="rId200" Type="http://schemas.openxmlformats.org/officeDocument/2006/relationships/hyperlink" Target="https://login.consultant.ru/link/?req=doc&amp;base=RLAW049&amp;n=160873&amp;dst=100101" TargetMode = "External"/>
	<Relationship Id="rId201" Type="http://schemas.openxmlformats.org/officeDocument/2006/relationships/hyperlink" Target="https://login.consultant.ru/link/?req=doc&amp;base=RLAW049&amp;n=160873&amp;dst=100103" TargetMode = "External"/>
	<Relationship Id="rId202" Type="http://schemas.openxmlformats.org/officeDocument/2006/relationships/hyperlink" Target="https://login.consultant.ru/link/?req=doc&amp;base=RLAW049&amp;n=159884&amp;dst=100531" TargetMode = "External"/>
	<Relationship Id="rId203" Type="http://schemas.openxmlformats.org/officeDocument/2006/relationships/hyperlink" Target="https://login.consultant.ru/link/?req=doc&amp;base=RLAW049&amp;n=178476&amp;dst=100120" TargetMode = "External"/>
	<Relationship Id="rId204" Type="http://schemas.openxmlformats.org/officeDocument/2006/relationships/hyperlink" Target="https://login.consultant.ru/link/?req=doc&amp;base=RLAW049&amp;n=178476&amp;dst=100143" TargetMode = "External"/>
	<Relationship Id="rId205" Type="http://schemas.openxmlformats.org/officeDocument/2006/relationships/hyperlink" Target="https://login.consultant.ru/link/?req=doc&amp;base=RLAW049&amp;n=177231" TargetMode = "External"/>
	<Relationship Id="rId206" Type="http://schemas.openxmlformats.org/officeDocument/2006/relationships/hyperlink" Target="https://login.consultant.ru/link/?req=doc&amp;base=RLAW049&amp;n=160873&amp;dst=100104" TargetMode = "External"/>
	<Relationship Id="rId207" Type="http://schemas.openxmlformats.org/officeDocument/2006/relationships/hyperlink" Target="https://login.consultant.ru/link/?req=doc&amp;base=RLAW049&amp;n=164191&amp;dst=100007" TargetMode = "External"/>
	<Relationship Id="rId208" Type="http://schemas.openxmlformats.org/officeDocument/2006/relationships/hyperlink" Target="https://login.consultant.ru/link/?req=doc&amp;base=RLAW049&amp;n=140601&amp;dst=100031" TargetMode = "External"/>
	<Relationship Id="rId209" Type="http://schemas.openxmlformats.org/officeDocument/2006/relationships/hyperlink" Target="https://login.consultant.ru/link/?req=doc&amp;base=RLAW049&amp;n=140601&amp;dst=100032" TargetMode = "External"/>
	<Relationship Id="rId210" Type="http://schemas.openxmlformats.org/officeDocument/2006/relationships/hyperlink" Target="https://login.consultant.ru/link/?req=doc&amp;base=RLAW049&amp;n=170780" TargetMode = "External"/>
	<Relationship Id="rId211" Type="http://schemas.openxmlformats.org/officeDocument/2006/relationships/hyperlink" Target="https://login.consultant.ru/link/?req=doc&amp;base=RLAW049&amp;n=160873&amp;dst=100105" TargetMode = "External"/>
	<Relationship Id="rId212" Type="http://schemas.openxmlformats.org/officeDocument/2006/relationships/hyperlink" Target="https://login.consultant.ru/link/?req=doc&amp;base=RLAW049&amp;n=160873&amp;dst=100107" TargetMode = "External"/>
	<Relationship Id="rId213" Type="http://schemas.openxmlformats.org/officeDocument/2006/relationships/hyperlink" Target="https://login.consultant.ru/link/?req=doc&amp;base=RLAW049&amp;n=164191&amp;dst=100007" TargetMode = "External"/>
	<Relationship Id="rId214" Type="http://schemas.openxmlformats.org/officeDocument/2006/relationships/hyperlink" Target="https://login.consultant.ru/link/?req=doc&amp;base=RLAW049&amp;n=167627&amp;dst=100008" TargetMode = "External"/>
	<Relationship Id="rId215" Type="http://schemas.openxmlformats.org/officeDocument/2006/relationships/hyperlink" Target="https://login.consultant.ru/link/?req=doc&amp;base=RLAW049&amp;n=167627&amp;dst=100010" TargetMode = "External"/>
	<Relationship Id="rId216" Type="http://schemas.openxmlformats.org/officeDocument/2006/relationships/hyperlink" Target="https://login.consultant.ru/link/?req=doc&amp;base=RLAW049&amp;n=129123&amp;dst=100014" TargetMode = "External"/>
	<Relationship Id="rId217" Type="http://schemas.openxmlformats.org/officeDocument/2006/relationships/hyperlink" Target="https://login.consultant.ru/link/?req=doc&amp;base=RLAW049&amp;n=178476&amp;dst=100120" TargetMode = "External"/>
	<Relationship Id="rId218" Type="http://schemas.openxmlformats.org/officeDocument/2006/relationships/hyperlink" Target="https://login.consultant.ru/link/?req=doc&amp;base=LAW&amp;n=469774" TargetMode = "External"/>
	<Relationship Id="rId219" Type="http://schemas.openxmlformats.org/officeDocument/2006/relationships/hyperlink" Target="https://login.consultant.ru/link/?req=doc&amp;base=RLAW049&amp;n=178476&amp;dst=100073" TargetMode = "External"/>
	<Relationship Id="rId220" Type="http://schemas.openxmlformats.org/officeDocument/2006/relationships/hyperlink" Target="https://login.consultant.ru/link/?req=doc&amp;base=RLAW049&amp;n=178476" TargetMode = "External"/>
	<Relationship Id="rId221" Type="http://schemas.openxmlformats.org/officeDocument/2006/relationships/hyperlink" Target="https://login.consultant.ru/link/?req=doc&amp;base=LAW&amp;n=465769&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19.03.2014 N 104-п
(ред. от 28.11.2023)
"О государственной поддержке инвестиционной деятельности, осуществляемой в форме капитальных вложений на территории Новосибирской области"</dc:title>
  <dcterms:created xsi:type="dcterms:W3CDTF">2024-12-25T10:44:13Z</dcterms:created>
</cp:coreProperties>
</file>