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  <w:t>Уведомление</w:t>
      </w:r>
    </w:p>
    <w:p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  <w:t>о необходимости разработки проекта нормативного</w:t>
      </w:r>
    </w:p>
    <w:p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  <w:t>правового акта Новосибирской области</w:t>
      </w:r>
    </w:p>
    <w:p>
      <w:pPr>
        <w:pStyle w:val="ConsPlusNormal"/>
        <w:jc w:val="center"/>
        <w:rPr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  <w:t>(проект постановления Правительства Новосибирской области «О порядке формирования и ведения регионального реестра инвестиционных товариществ на территории Новосибирской области»)</w:t>
      </w:r>
    </w:p>
    <w:p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</w:r>
    </w:p>
    <w:p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  <w:t>Наименование разработчика: министерство экономического развития Новосибирской области.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  <w:t>Контактное лицо, телефон: Бочкарева Екатерина Александровна – заместитель начальника управления - начальни</w:t>
      </w:r>
      <w:bookmarkStart w:id="0" w:name="_GoBack"/>
      <w:bookmarkEnd w:id="0"/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  <w:t>к отдела инвестиционной деятельности, проектов и программ управления инвестиционной политики, тел.: +7 (383) 238-67-34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</w:rPr>
      </w:r>
    </w:p>
    <w:tbl>
      <w:tblPr>
        <w:tblW w:w="9493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4"/>
        <w:gridCol w:w="5673"/>
        <w:gridCol w:w="3256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п/п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>
        <w:trPr>
          <w:trHeight w:val="31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white"/>
                <w:vertAlign w:val="superscript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 xml:space="preserve">Отсутствие порядка формирования и ведения регионального реестра инвестиционных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товариществ на территории </w:t>
            </w: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Новосибирской области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57" w:hanging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Невозможность предоставления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инвестиционного налогового вычета по налогу на прибыль организаций в отношении расходов в виде денежных средств, внесенных в качестве вклада в инвестиционное товарищество, деятельность в рамках которого направлена на осуществление венчурных и (или) прямых инвестиций в организации, имеющие статус малой технологической компании в соответствии с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ст. 286.1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алогового кодекса Российской Федерации (часть вторая) от 05.08.2000 № 117-ФЗ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  <w:highlight w:val="white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  <w:highlight w:val="white"/>
        </w:rPr>
        <w:t xml:space="preserve">2.1. Основные группы субъектов предпринимательской и (или) инвестиционной деятельности, затрагиваемые предлагаемым 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регулированием: </w:t>
      </w:r>
      <w:r>
        <w:rPr>
          <w:rFonts w:cs="Times New Roman" w:ascii="Times New Roman" w:hAnsi="Times New Roman"/>
          <w:sz w:val="28"/>
        </w:rPr>
        <w:t xml:space="preserve">налогоплательщики, осуществившие расходы </w:t>
      </w:r>
      <w:r>
        <w:rPr>
          <w:rFonts w:cs="Times New Roman" w:ascii="Times New Roman" w:hAnsi="Times New Roman"/>
          <w:sz w:val="28"/>
          <w:szCs w:val="28"/>
        </w:rPr>
        <w:t>в виде денежных средств, внесенных в качестве вклада в инвестиционное товарищество, деятельность в рамках которого направлена на осуществление венчурных и (или) прямых инвестиций в организации, имеющие статус малой технологической компании</w:t>
      </w:r>
      <w:r>
        <w:rPr>
          <w:rFonts w:cs="Times New Roman" w:ascii="Times New Roman" w:hAnsi="Times New Roman"/>
          <w:sz w:val="28"/>
          <w:szCs w:val="28"/>
          <w:highlight w:val="white"/>
        </w:rPr>
        <w:t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  <w:highlight w:val="white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  <w:highlight w:val="white"/>
        </w:rPr>
        <w:t>3. Известные разработчику способы решения каждой из указанных проблем: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D0D0D" w:themeColor="text1" w:themeTint="f2"/>
          <w:sz w:val="28"/>
          <w:szCs w:val="28"/>
          <w:highlight w:val="white"/>
        </w:rPr>
      </w:r>
    </w:p>
    <w:tbl>
      <w:tblPr>
        <w:tblW w:w="9918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5"/>
        <w:gridCol w:w="5667"/>
        <w:gridCol w:w="3686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п/п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Известные способы решения</w:t>
            </w:r>
          </w:p>
        </w:tc>
      </w:tr>
      <w:tr>
        <w:trPr>
          <w:trHeight w:val="113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white"/>
                <w:vertAlign w:val="superscript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 xml:space="preserve">Отсутствие порядка формирования и ведения регионального реестра инвестиционных товариществ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 территории </w:t>
            </w: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Новосибирской области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 xml:space="preserve">Принятие постановления Правительства Новосибирской области «О порядке формирования и ведения регионального реестра инвестиционных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товариществ на территории </w:t>
            </w:r>
            <w:r>
              <w:rPr>
                <w:rFonts w:cs="Times New Roman" w:ascii="Times New Roman" w:hAnsi="Times New Roman"/>
                <w:color w:val="0D0D0D" w:themeColor="text1" w:themeTint="f2"/>
                <w:sz w:val="28"/>
                <w:szCs w:val="28"/>
              </w:rPr>
              <w:t>Новосибирской области»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адрес почтовый: 630007, г. Новосибирск, Красный проспект,18 министерство экономического развития Новосибирской области, кабинет 109;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 адрес электронной почты: </w:t>
      </w:r>
      <w:r>
        <w:rPr>
          <w:rFonts w:cs="Times New Roman" w:ascii="Times New Roman" w:hAnsi="Times New Roman"/>
          <w:sz w:val="28"/>
          <w:szCs w:val="28"/>
          <w:lang w:val="en-US"/>
        </w:rPr>
        <w:t>beal</w:t>
      </w:r>
      <w:r>
        <w:rPr>
          <w:rFonts w:cs="Times New Roman" w:ascii="Times New Roman" w:hAnsi="Times New Roman"/>
          <w:sz w:val="28"/>
          <w:szCs w:val="28"/>
        </w:rPr>
        <w:t xml:space="preserve">@nso.ru, </w:t>
      </w:r>
      <w:r>
        <w:rPr>
          <w:rFonts w:cs="Times New Roman" w:ascii="Times New Roman" w:hAnsi="Times New Roman"/>
          <w:sz w:val="28"/>
          <w:szCs w:val="28"/>
          <w:lang w:val="en-US"/>
        </w:rPr>
        <w:t>grva</w:t>
      </w:r>
      <w:r>
        <w:rPr>
          <w:rFonts w:cs="Times New Roman" w:ascii="Times New Roman" w:hAnsi="Times New Roman"/>
          <w:sz w:val="28"/>
          <w:szCs w:val="28"/>
        </w:rPr>
        <w:t>@nso.ru.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</w:rPr>
        <w:t>.11.2024 по 2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.11.2024.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-">
    <w:name w:val="Hyperlink"/>
    <w:uiPriority w:val="99"/>
    <w:unhideWhenUsed/>
    <w:rPr>
      <w:color w:val="0563C1" w:themeColor="hyperlink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Символ сноски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2">
    <w:name w:val="Title"/>
    <w:basedOn w:val="Normal"/>
    <w:next w:val="Style18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Indexheading">
    <w:name w:val="index heading"/>
    <w:basedOn w:val="Style22"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7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8">
    <w:name w:val="Endnote Text"/>
    <w:basedOn w:val="Normal"/>
    <w:link w:val="Style1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9">
    <w:name w:val="Index Heading"/>
    <w:basedOn w:val="Style17"/>
    <w:pPr/>
    <w:rPr/>
  </w:style>
  <w:style w:type="paragraph" w:styleId="Style30">
    <w:name w:val="TOC Heading"/>
    <w:uiPriority w:val="39"/>
    <w:unhideWhenUsed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2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styleId="24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ED7D31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5A5A5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C000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472C4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0AD47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ED7D31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ED7D31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5A5A5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5A5A5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C000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C000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0AD47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0AD47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LibreOffice/7.5.9.2$Linux_X86_64 LibreOffice_project/50$Build-2</Application>
  <AppVersion>15.0000</AppVersion>
  <Pages>2</Pages>
  <Words>342</Words>
  <Characters>2629</Characters>
  <CharactersWithSpaces>2945</CharactersWithSpaces>
  <Paragraphs>26</Paragraphs>
  <Company>PNO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2024-11-18T07:35:00Z</dcterms:created>
  <dc:creator>Золотцева Наталья Владиславовна</dc:creator>
  <dc:description/>
  <dc:language>ru-RU</dc:language>
  <cp:lastModifiedBy/>
  <cp:lastPrinted>2024-11-18T07:34:00Z</cp:lastPrinted>
  <dcterms:modified xsi:type="dcterms:W3CDTF">2024-11-19T15:14:31Z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