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left="0" w:hanging="0"/>
        <w:jc w:val="left"/>
        <w:rPr>
          <w:rFonts w:ascii="Tahoma" w:hAnsi="Tahoma"/>
          <w:sz w:val="20"/>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rFonts w:ascii="Tahoma" w:hAnsi="Tahoma"/>
          <w:sz w:val="20"/>
        </w:rPr>
        <w:br/>
      </w:r>
    </w:p>
    <w:p>
      <w:pPr>
        <w:pStyle w:val="ConsPlusNormal"/>
        <w:numPr>
          <w:ilvl w:val="0"/>
          <w:numId w:val="0"/>
        </w:numPr>
        <w:bidi w:val="0"/>
        <w:ind w:left="0" w:firstLine="540"/>
        <w:jc w:val="both"/>
        <w:outlineLvl w:val="0"/>
        <w:rPr/>
      </w:pPr>
      <w:r>
        <w:rPr/>
      </w:r>
    </w:p>
    <w:p>
      <w:pPr>
        <w:pStyle w:val="ConsPlusNormal"/>
        <w:numPr>
          <w:ilvl w:val="0"/>
          <w:numId w:val="0"/>
        </w:numPr>
        <w:bidi w:val="0"/>
        <w:ind w:left="0" w:hanging="0"/>
        <w:jc w:val="center"/>
        <w:outlineLvl w:val="0"/>
        <w:rPr>
          <w:b/>
        </w:rPr>
      </w:pPr>
      <w:r>
        <w:rPr>
          <w:b/>
        </w:rPr>
        <w:t>ПРАВИТЕЛЬСТВО НОВОСИБИРСКОЙ ОБЛАСТИ</w:t>
      </w:r>
    </w:p>
    <w:p>
      <w:pPr>
        <w:pStyle w:val="ConsPlusNormal"/>
        <w:bidi w:val="0"/>
        <w:ind w:left="0" w:hanging="0"/>
        <w:jc w:val="center"/>
        <w:rPr>
          <w:b/>
        </w:rPr>
      </w:pPr>
      <w:r>
        <w:rPr>
          <w:b/>
        </w:rPr>
      </w:r>
    </w:p>
    <w:p>
      <w:pPr>
        <w:pStyle w:val="ConsPlusNormal"/>
        <w:bidi w:val="0"/>
        <w:ind w:left="0" w:hanging="0"/>
        <w:jc w:val="center"/>
        <w:rPr>
          <w:b/>
        </w:rPr>
      </w:pPr>
      <w:r>
        <w:rPr>
          <w:b/>
        </w:rPr>
        <w:t>ПОСТАНОВЛЕНИЕ</w:t>
      </w:r>
    </w:p>
    <w:p>
      <w:pPr>
        <w:pStyle w:val="ConsPlusNormal"/>
        <w:bidi w:val="0"/>
        <w:ind w:left="0" w:hanging="0"/>
        <w:jc w:val="center"/>
        <w:rPr>
          <w:b/>
        </w:rPr>
      </w:pPr>
      <w:r>
        <w:rPr>
          <w:b/>
        </w:rPr>
        <w:t>от 22 июня 2021 г. N 236-п</w:t>
      </w:r>
    </w:p>
    <w:p>
      <w:pPr>
        <w:pStyle w:val="ConsPlusNormal"/>
        <w:bidi w:val="0"/>
        <w:ind w:left="0" w:hanging="0"/>
        <w:jc w:val="center"/>
        <w:rPr>
          <w:b/>
        </w:rPr>
      </w:pPr>
      <w:r>
        <w:rPr>
          <w:b/>
        </w:rPr>
      </w:r>
    </w:p>
    <w:p>
      <w:pPr>
        <w:pStyle w:val="ConsPlusNormal"/>
        <w:bidi w:val="0"/>
        <w:ind w:left="0" w:hanging="0"/>
        <w:jc w:val="center"/>
        <w:rPr>
          <w:b/>
        </w:rPr>
      </w:pPr>
      <w:r>
        <w:rPr>
          <w:b/>
        </w:rPr>
        <w:t>О ПОРЯДКЕ ФОРМИРОВАНИЯ ПЕРЕЧНЯ МЕДИЦИНСКИХ ОРГАНИЗАЦИЙ,</w:t>
      </w:r>
    </w:p>
    <w:p>
      <w:pPr>
        <w:pStyle w:val="ConsPlusNormal"/>
        <w:bidi w:val="0"/>
        <w:ind w:left="0" w:hanging="0"/>
        <w:jc w:val="center"/>
        <w:rPr>
          <w:b/>
        </w:rPr>
      </w:pPr>
      <w:r>
        <w:rPr>
          <w:b/>
        </w:rPr>
        <w:t>ОКАЗЫВАЮЩИХ ВЫСОКОТЕХНОЛОГИЧНУЮ МЕДИЦИНСКУЮ ПОМОЩЬ,</w:t>
      </w:r>
    </w:p>
    <w:p>
      <w:pPr>
        <w:pStyle w:val="ConsPlusNormal"/>
        <w:bidi w:val="0"/>
        <w:ind w:left="0" w:hanging="0"/>
        <w:jc w:val="center"/>
        <w:rPr>
          <w:b/>
        </w:rPr>
      </w:pPr>
      <w:r>
        <w:rPr>
          <w:b/>
        </w:rPr>
        <w:t>НЕ ВКЛЮЧЕННУЮ В БАЗОВУЮ ПРОГРАММУ ОБЯЗАТЕЛЬНОГО</w:t>
      </w:r>
    </w:p>
    <w:p>
      <w:pPr>
        <w:pStyle w:val="ConsPlusNormal"/>
        <w:bidi w:val="0"/>
        <w:ind w:left="0" w:hanging="0"/>
        <w:jc w:val="center"/>
        <w:rPr>
          <w:b/>
        </w:rPr>
      </w:pPr>
      <w:r>
        <w:rPr>
          <w:b/>
        </w:rPr>
        <w:t>МЕДИЦИНСКОГО СТРАХОВАНИЯ, ЗА СЧЕТ СРЕДСТВ</w:t>
      </w:r>
    </w:p>
    <w:p>
      <w:pPr>
        <w:pStyle w:val="ConsPlusNormal"/>
        <w:bidi w:val="0"/>
        <w:ind w:left="0" w:hanging="0"/>
        <w:jc w:val="center"/>
        <w:rPr>
          <w:b/>
        </w:rPr>
      </w:pPr>
      <w:r>
        <w:rPr>
          <w:b/>
        </w:rPr>
        <w:t>ОБЛАСТНОГО БЮДЖЕТА НОВОСИБИРСКОЙ ОБЛАСТИ</w:t>
      </w:r>
    </w:p>
    <w:p>
      <w:pPr>
        <w:pStyle w:val="ConsPlusNormal"/>
        <w:bidi w:val="0"/>
        <w:ind w:left="0" w:firstLine="540"/>
        <w:jc w:val="both"/>
        <w:rPr/>
      </w:pPr>
      <w:r>
        <w:rPr/>
      </w:r>
    </w:p>
    <w:p>
      <w:pPr>
        <w:pStyle w:val="ConsPlusNormal"/>
        <w:bidi w:val="0"/>
        <w:ind w:left="0" w:firstLine="540"/>
        <w:jc w:val="both"/>
        <w:rPr/>
      </w:pPr>
      <w:r>
        <w:rPr/>
        <w:t xml:space="preserve">В соответствии с </w:t>
      </w:r>
      <w:hyperlink r:id="rId3">
        <w:r>
          <w:rPr>
            <w:color w:val="0000FF"/>
          </w:rPr>
          <w:t>частью 7.2 статьи 34</w:t>
        </w:r>
      </w:hyperlink>
      <w:r>
        <w:rPr/>
        <w:t xml:space="preserve"> Федерального закона от 21.11.2011 N 323-ФЗ "Об основах охраны здоровья граждан в Российской Федерации", </w:t>
      </w:r>
      <w:hyperlink r:id="rId4">
        <w:r>
          <w:rPr>
            <w:color w:val="0000FF"/>
          </w:rPr>
          <w:t>пунктом 17 статьи 4</w:t>
        </w:r>
      </w:hyperlink>
      <w:r>
        <w:rPr/>
        <w:t xml:space="preserve"> Закона Новосибирской области от 28.09.2012 N 255-ОЗ "О регулировании отношений в сфере охраны здоровья граждан в Новосибирской области" Правительство Новосибирской области постановляет:</w:t>
      </w:r>
    </w:p>
    <w:p>
      <w:pPr>
        <w:pStyle w:val="ConsPlusNormal"/>
        <w:bidi w:val="0"/>
        <w:spacing w:before="160" w:after="0"/>
        <w:ind w:left="0" w:firstLine="540"/>
        <w:jc w:val="both"/>
        <w:rPr/>
      </w:pPr>
      <w:r>
        <w:rPr/>
        <w:t xml:space="preserve">1. Установить прилагаемый </w:t>
      </w:r>
      <w:hyperlink w:anchor="Par31">
        <w:r>
          <w:rPr>
            <w:color w:val="0000FF"/>
          </w:rPr>
          <w:t>Порядок</w:t>
        </w:r>
      </w:hyperlink>
      <w:r>
        <w:rPr/>
        <w:t xml:space="preserve"> формирования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областного бюджета Новосибирской области.</w:t>
      </w:r>
    </w:p>
    <w:p>
      <w:pPr>
        <w:pStyle w:val="ConsPlusNormal"/>
        <w:bidi w:val="0"/>
        <w:spacing w:before="160" w:after="0"/>
        <w:ind w:left="0" w:firstLine="540"/>
        <w:jc w:val="both"/>
        <w:rPr/>
      </w:pPr>
      <w:r>
        <w:rPr/>
        <w:t>2. Признать утратившими силу:</w:t>
      </w:r>
    </w:p>
    <w:p>
      <w:pPr>
        <w:pStyle w:val="ConsPlusNormal"/>
        <w:bidi w:val="0"/>
        <w:spacing w:before="160" w:after="0"/>
        <w:ind w:left="0" w:firstLine="540"/>
        <w:jc w:val="both"/>
        <w:rPr/>
      </w:pPr>
      <w:r>
        <w:rPr/>
        <w:t xml:space="preserve">1) </w:t>
      </w:r>
      <w:hyperlink r:id="rId5">
        <w:r>
          <w:rPr>
            <w:color w:val="0000FF"/>
          </w:rPr>
          <w:t>постановление</w:t>
        </w:r>
      </w:hyperlink>
      <w:r>
        <w:rPr/>
        <w:t xml:space="preserve"> Правительства Новосибирской области от 02.06.2015 N 205-п "Об утверждении Порядка формирования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областного бюджета Новосибирской области и за счет средств бюджета Федерального фонда обязательного медицинского страхования, предусмотренных на софинансирование расходов областного бюджета Новосибирской области,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pPr>
        <w:pStyle w:val="ConsPlusNormal"/>
        <w:bidi w:val="0"/>
        <w:spacing w:before="160" w:after="0"/>
        <w:ind w:left="0" w:firstLine="540"/>
        <w:jc w:val="both"/>
        <w:rPr/>
      </w:pPr>
      <w:r>
        <w:rPr/>
        <w:t xml:space="preserve">2) </w:t>
      </w:r>
      <w:hyperlink r:id="rId6">
        <w:r>
          <w:rPr>
            <w:color w:val="0000FF"/>
          </w:rPr>
          <w:t>постановление</w:t>
        </w:r>
      </w:hyperlink>
      <w:r>
        <w:rPr/>
        <w:t xml:space="preserve"> Правительства Новосибирской области от 26.09.2017 N 362-п "О внесении изменений в постановление Правительства Новосибирской области от 02.06.2015 N 205-п".</w:t>
      </w:r>
    </w:p>
    <w:p>
      <w:pPr>
        <w:pStyle w:val="ConsPlusNormal"/>
        <w:bidi w:val="0"/>
        <w:spacing w:before="160" w:after="0"/>
        <w:ind w:left="0" w:firstLine="540"/>
        <w:jc w:val="both"/>
        <w:rPr/>
      </w:pPr>
      <w:r>
        <w:rPr/>
        <w:t>3. Контроль за исполнением настоящего постановления возложить на первого заместителя Губернатора Новосибирской области Петухова Ю.Ф.</w:t>
      </w:r>
    </w:p>
    <w:p>
      <w:pPr>
        <w:pStyle w:val="ConsPlusNormal"/>
        <w:bidi w:val="0"/>
        <w:ind w:left="0" w:firstLine="540"/>
        <w:jc w:val="both"/>
        <w:rPr/>
      </w:pPr>
      <w:r>
        <w:rPr/>
      </w:r>
    </w:p>
    <w:p>
      <w:pPr>
        <w:pStyle w:val="ConsPlusNormal"/>
        <w:bidi w:val="0"/>
        <w:ind w:left="0" w:hanging="0"/>
        <w:jc w:val="right"/>
        <w:rPr/>
      </w:pPr>
      <w:r>
        <w:rPr/>
        <w:t>Губернатор Новосибирской области</w:t>
      </w:r>
    </w:p>
    <w:p>
      <w:pPr>
        <w:pStyle w:val="ConsPlusNormal"/>
        <w:bidi w:val="0"/>
        <w:ind w:left="0" w:hanging="0"/>
        <w:jc w:val="right"/>
        <w:rPr/>
      </w:pPr>
      <w:r>
        <w:rPr/>
        <w:t>А.А.ТРАВНИКОВ</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22.06.2021 N 236-п</w:t>
      </w:r>
    </w:p>
    <w:p>
      <w:pPr>
        <w:pStyle w:val="ConsPlusNormal"/>
        <w:bidi w:val="0"/>
        <w:ind w:left="0" w:firstLine="540"/>
        <w:jc w:val="both"/>
        <w:rPr/>
      </w:pPr>
      <w:r>
        <w:rPr/>
      </w:r>
    </w:p>
    <w:p>
      <w:pPr>
        <w:pStyle w:val="ConsPlusNormal"/>
        <w:bidi w:val="0"/>
        <w:ind w:left="0" w:hanging="0"/>
        <w:jc w:val="center"/>
        <w:rPr>
          <w:b/>
        </w:rPr>
      </w:pPr>
      <w:bookmarkStart w:id="0" w:name="Par31"/>
      <w:bookmarkEnd w:id="0"/>
      <w:r>
        <w:rPr>
          <w:b/>
        </w:rPr>
        <w:t>ПОРЯДОК</w:t>
      </w:r>
    </w:p>
    <w:p>
      <w:pPr>
        <w:pStyle w:val="ConsPlusNormal"/>
        <w:bidi w:val="0"/>
        <w:ind w:left="0" w:hanging="0"/>
        <w:jc w:val="center"/>
        <w:rPr>
          <w:b/>
        </w:rPr>
      </w:pPr>
      <w:r>
        <w:rPr>
          <w:b/>
        </w:rPr>
        <w:t>ФОРМИРОВАНИЯ ПЕРЕЧНЯ МЕДИЦИНСКИХ ОРГАНИЗАЦИЙ, ОКАЗЫВАЮЩИХ</w:t>
      </w:r>
    </w:p>
    <w:p>
      <w:pPr>
        <w:pStyle w:val="ConsPlusNormal"/>
        <w:bidi w:val="0"/>
        <w:ind w:left="0" w:hanging="0"/>
        <w:jc w:val="center"/>
        <w:rPr>
          <w:b/>
        </w:rPr>
      </w:pPr>
      <w:r>
        <w:rPr>
          <w:b/>
        </w:rPr>
        <w:t>ВЫСОКОТЕХНОЛОГИЧНУЮ МЕДИЦИНСКУЮ ПОМОЩЬ, НЕ ВКЛЮЧЕННУЮ</w:t>
      </w:r>
    </w:p>
    <w:p>
      <w:pPr>
        <w:pStyle w:val="ConsPlusNormal"/>
        <w:bidi w:val="0"/>
        <w:ind w:left="0" w:hanging="0"/>
        <w:jc w:val="center"/>
        <w:rPr>
          <w:b/>
        </w:rPr>
      </w:pPr>
      <w:r>
        <w:rPr>
          <w:b/>
        </w:rPr>
        <w:t>В БАЗОВУЮ ПРОГРАММУ ОБЯЗАТЕЛЬНОГО МЕДИЦИНСКОГО СТРАХОВАНИЯ,</w:t>
      </w:r>
    </w:p>
    <w:p>
      <w:pPr>
        <w:pStyle w:val="ConsPlusNormal"/>
        <w:bidi w:val="0"/>
        <w:ind w:left="0" w:hanging="0"/>
        <w:jc w:val="center"/>
        <w:rPr>
          <w:b/>
        </w:rPr>
      </w:pPr>
      <w:r>
        <w:rPr>
          <w:b/>
        </w:rPr>
        <w:t>ЗА СЧЕТ СРЕДСТВ ОБЛАСТНОГО БЮДЖЕТА НОВОСИБИРСКОЙ ОБЛАСТИ</w:t>
      </w:r>
    </w:p>
    <w:p>
      <w:pPr>
        <w:pStyle w:val="ConsPlusNormal"/>
        <w:bidi w:val="0"/>
        <w:ind w:left="0" w:firstLine="540"/>
        <w:jc w:val="both"/>
        <w:rPr/>
      </w:pPr>
      <w:r>
        <w:rPr/>
      </w:r>
    </w:p>
    <w:p>
      <w:pPr>
        <w:pStyle w:val="ConsPlusNormal"/>
        <w:bidi w:val="0"/>
        <w:ind w:left="0" w:firstLine="540"/>
        <w:jc w:val="both"/>
        <w:rPr/>
      </w:pPr>
      <w:r>
        <w:rPr/>
        <w:t>1. Настоящий Порядок устанавливает процедуру формирования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областного бюджета Новосибирской области (далее - перечень).</w:t>
      </w:r>
    </w:p>
    <w:p>
      <w:pPr>
        <w:pStyle w:val="ConsPlusNormal"/>
        <w:bidi w:val="0"/>
        <w:spacing w:before="160" w:after="0"/>
        <w:ind w:left="0" w:firstLine="540"/>
        <w:jc w:val="both"/>
        <w:rPr/>
      </w:pPr>
      <w:r>
        <w:rPr/>
        <w:t>2. Перечень ежегодно формируется и утверждается приказом министерства здравоохранения Новосибирской области не позднее 10 декабря года, предшествующего году, на который формируется перечень, на основании заключения комиссии по отбору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областного бюджета Новосибирской области (далее - комиссия).</w:t>
      </w:r>
    </w:p>
    <w:p>
      <w:pPr>
        <w:pStyle w:val="ConsPlusNormal"/>
        <w:bidi w:val="0"/>
        <w:spacing w:before="160" w:after="0"/>
        <w:ind w:left="0" w:firstLine="540"/>
        <w:jc w:val="both"/>
        <w:rPr/>
      </w:pPr>
      <w:r>
        <w:rPr/>
        <w:t>3. Комиссия создается при министерстве здравоохранения Новосибирской области. Положение о комиссии и ее состав утверждаются приказом министерства здравоохранения Новосибирской области.</w:t>
      </w:r>
    </w:p>
    <w:p>
      <w:pPr>
        <w:pStyle w:val="ConsPlusNormal"/>
        <w:bidi w:val="0"/>
        <w:spacing w:before="160" w:after="0"/>
        <w:ind w:left="0" w:firstLine="540"/>
        <w:jc w:val="both"/>
        <w:rPr/>
      </w:pPr>
      <w:bookmarkStart w:id="1" w:name="Par40"/>
      <w:bookmarkEnd w:id="1"/>
      <w:r>
        <w:rPr/>
        <w:t>4. Медицинская организация, претендующая на включение в перечень, представляет в министерство здравоохранения Новосибирской области не позднее 1 октября года, предшествующего году, на который он формируется:</w:t>
      </w:r>
    </w:p>
    <w:p>
      <w:pPr>
        <w:pStyle w:val="ConsPlusNormal"/>
        <w:bidi w:val="0"/>
        <w:spacing w:before="160" w:after="0"/>
        <w:ind w:left="0" w:firstLine="540"/>
        <w:jc w:val="both"/>
        <w:rPr/>
      </w:pPr>
      <w:r>
        <w:rPr/>
        <w:t>1) заявку медицинской организации на включение в перечень по форме, утверждаемой приказом министерства здравоохранения Новосибирской области, подписанную руководителем и скрепленную печатью (при наличии) медицинской организации;</w:t>
      </w:r>
    </w:p>
    <w:p>
      <w:pPr>
        <w:pStyle w:val="ConsPlusNormal"/>
        <w:bidi w:val="0"/>
        <w:spacing w:before="160" w:after="0"/>
        <w:ind w:left="0" w:firstLine="540"/>
        <w:jc w:val="both"/>
        <w:rPr/>
      </w:pPr>
      <w:r>
        <w:rPr/>
        <w:t>2) копии учредительных документов;</w:t>
      </w:r>
    </w:p>
    <w:p>
      <w:pPr>
        <w:pStyle w:val="ConsPlusNormal"/>
        <w:bidi w:val="0"/>
        <w:spacing w:before="160" w:after="0"/>
        <w:ind w:left="0" w:firstLine="540"/>
        <w:jc w:val="both"/>
        <w:rPr/>
      </w:pPr>
      <w:r>
        <w:rPr/>
        <w:t>3) копию лицензии на осуществление медицинской деятельности, предусматривающей выполнение работ (услуг) по оказанию высокотехнологичной медицинской помощи;</w:t>
      </w:r>
    </w:p>
    <w:p>
      <w:pPr>
        <w:pStyle w:val="ConsPlusNormal"/>
        <w:bidi w:val="0"/>
        <w:spacing w:before="160" w:after="0"/>
        <w:ind w:left="0" w:firstLine="540"/>
        <w:jc w:val="both"/>
        <w:rPr/>
      </w:pPr>
      <w:bookmarkStart w:id="2" w:name="Par44"/>
      <w:bookmarkEnd w:id="2"/>
      <w:r>
        <w:rPr/>
        <w:t>4) копии форм статистического наблюдения, характеризующих деятельность медицинской организации по оказанию медицинской помощи в стационарных условиях и в условиях дневного стационара, за предшествующий отчетный год (за исключением вновь созданных организаций);</w:t>
      </w:r>
    </w:p>
    <w:p>
      <w:pPr>
        <w:pStyle w:val="ConsPlusNormal"/>
        <w:bidi w:val="0"/>
        <w:spacing w:before="160" w:after="0"/>
        <w:ind w:left="0" w:firstLine="540"/>
        <w:jc w:val="both"/>
        <w:rPr/>
      </w:pPr>
      <w:bookmarkStart w:id="3" w:name="Par45"/>
      <w:bookmarkEnd w:id="3"/>
      <w:r>
        <w:rPr/>
        <w:t>5) сведения об объемах высокотехнологичной медицинской помощи, оказанной медицинской организацией за последние 2 года, по профилям и видам с применением методов лечения, которые предусмотрены перечнем видов высокотехнологичной медицинской помощи, утвержденным в установленном порядке Правительством Российской Федерации (далее - перечень видов высокотехнологичной медицинской помощи) (за исключением вновь созданных медицинских организаций);</w:t>
      </w:r>
    </w:p>
    <w:p>
      <w:pPr>
        <w:pStyle w:val="ConsPlusNormal"/>
        <w:bidi w:val="0"/>
        <w:spacing w:before="160" w:after="0"/>
        <w:ind w:left="0" w:firstLine="540"/>
        <w:jc w:val="both"/>
        <w:rPr/>
      </w:pPr>
      <w:r>
        <w:rPr/>
        <w:t>6) сведения о планируемых на очередной год с учетом технологических возможностей медицинской организации объемах высокотехнологичной медицинской помощи по заявленным профилям и видам с применением методов лечения, которые предусмотрены перечнем видов высокотехнологичной медицинской помощи;</w:t>
      </w:r>
    </w:p>
    <w:p>
      <w:pPr>
        <w:pStyle w:val="ConsPlusNormal"/>
        <w:bidi w:val="0"/>
        <w:spacing w:before="160" w:after="0"/>
        <w:ind w:left="0" w:firstLine="540"/>
        <w:jc w:val="both"/>
        <w:rPr/>
      </w:pPr>
      <w:r>
        <w:rPr/>
        <w:t>7) сведения о структуре медицинской организации и показателях ее медицинской деятельности;</w:t>
      </w:r>
    </w:p>
    <w:p>
      <w:pPr>
        <w:pStyle w:val="ConsPlusNormal"/>
        <w:bidi w:val="0"/>
        <w:spacing w:before="160" w:after="0"/>
        <w:ind w:left="0" w:firstLine="540"/>
        <w:jc w:val="both"/>
        <w:rPr/>
      </w:pPr>
      <w:r>
        <w:rPr/>
        <w:t>8) сведения об укомплектованности медицинской организации медицинскими работниками в соответствии с утвержденным штатным расписанием;</w:t>
      </w:r>
    </w:p>
    <w:p>
      <w:pPr>
        <w:pStyle w:val="ConsPlusNormal"/>
        <w:bidi w:val="0"/>
        <w:spacing w:before="160" w:after="0"/>
        <w:ind w:left="0" w:firstLine="540"/>
        <w:jc w:val="both"/>
        <w:rPr/>
      </w:pPr>
      <w:r>
        <w:rPr/>
        <w:t>9) сведения о числе медицинских работников, участвующих в оказании высокотехнологичной медицинской помощи по заявленным профилям и видам с применением методов лечения, которые предусмотрены перечнем видов высокотехнологичной медицинской помощи, включая информацию о наличии у таких медицинских работников опыта оказания такой медицинской помощи за предыдущие 3 года;</w:t>
      </w:r>
    </w:p>
    <w:p>
      <w:pPr>
        <w:pStyle w:val="ConsPlusNormal"/>
        <w:bidi w:val="0"/>
        <w:spacing w:before="160" w:after="0"/>
        <w:ind w:left="0" w:firstLine="540"/>
        <w:jc w:val="both"/>
        <w:rPr/>
      </w:pPr>
      <w:r>
        <w:rPr/>
        <w:t>10) сведения об обеспечении медицинской организации медицинским оборудованием, необходимым для оказания высокотехнологичной медицинской помощи по заявленным профилям и видам с применением методов лечения, которые предусмотрены перечнем видов высокотехнологичной медицинской помощи.</w:t>
      </w:r>
    </w:p>
    <w:p>
      <w:pPr>
        <w:pStyle w:val="ConsPlusNormal"/>
        <w:bidi w:val="0"/>
        <w:spacing w:before="160" w:after="0"/>
        <w:ind w:left="0" w:firstLine="540"/>
        <w:jc w:val="both"/>
        <w:rPr/>
      </w:pPr>
      <w:r>
        <w:rPr/>
        <w:t xml:space="preserve">5. В случае представления медицинской организацией не в полном объеме документов и сведений, указанных в </w:t>
      </w:r>
      <w:hyperlink w:anchor="Par40">
        <w:r>
          <w:rPr>
            <w:color w:val="0000FF"/>
          </w:rPr>
          <w:t>пункте 4</w:t>
        </w:r>
      </w:hyperlink>
      <w:r>
        <w:rPr/>
        <w:t xml:space="preserve"> настоящего Порядка, за исключением документов и сведений, указанных в </w:t>
      </w:r>
      <w:hyperlink w:anchor="Par44">
        <w:r>
          <w:rPr>
            <w:color w:val="0000FF"/>
          </w:rPr>
          <w:t>подпунктах 4</w:t>
        </w:r>
      </w:hyperlink>
      <w:r>
        <w:rPr/>
        <w:t xml:space="preserve">, </w:t>
      </w:r>
      <w:hyperlink w:anchor="Par45">
        <w:r>
          <w:rPr>
            <w:color w:val="0000FF"/>
          </w:rPr>
          <w:t>5 пункта 4</w:t>
        </w:r>
      </w:hyperlink>
      <w:r>
        <w:rPr/>
        <w:t xml:space="preserve"> настоящего Порядка (для вновь созданных организаций), заявка не принимается к рассмотрению, о чем министерство здравоохранения Новосибирской области не позднее 10 рабочих дней со дня регистрации поступивших документов и сведений в письменной форме уведомляет медицинскую организацию.</w:t>
      </w:r>
    </w:p>
    <w:p>
      <w:pPr>
        <w:pStyle w:val="ConsPlusNormal"/>
        <w:bidi w:val="0"/>
        <w:spacing w:before="160" w:after="0"/>
        <w:ind w:left="0" w:firstLine="540"/>
        <w:jc w:val="both"/>
        <w:rPr/>
      </w:pPr>
      <w:r>
        <w:rPr/>
        <w:t xml:space="preserve">6. Министерство здравоохранения Новосибирской области не позднее 14 календарных дней со дня окончания установленного срока представления организациями документов и сведений, указанных в </w:t>
      </w:r>
      <w:hyperlink w:anchor="Par40">
        <w:r>
          <w:rPr>
            <w:color w:val="0000FF"/>
          </w:rPr>
          <w:t>пункте 4</w:t>
        </w:r>
      </w:hyperlink>
      <w:r>
        <w:rPr/>
        <w:t xml:space="preserve"> настоящего Порядка, организует проведение заседания (заседаний) комиссии.</w:t>
      </w:r>
    </w:p>
    <w:p>
      <w:pPr>
        <w:pStyle w:val="ConsPlusNormal"/>
        <w:bidi w:val="0"/>
        <w:spacing w:before="160" w:after="0"/>
        <w:ind w:left="0" w:firstLine="540"/>
        <w:jc w:val="both"/>
        <w:rPr/>
      </w:pPr>
      <w:r>
        <w:rPr/>
        <w:t>7. Критериями отбора медицинских организаций для включения в перечень являются:</w:t>
      </w:r>
    </w:p>
    <w:p>
      <w:pPr>
        <w:pStyle w:val="ConsPlusNormal"/>
        <w:bidi w:val="0"/>
        <w:spacing w:before="160" w:after="0"/>
        <w:ind w:left="0" w:firstLine="540"/>
        <w:jc w:val="both"/>
        <w:rPr/>
      </w:pPr>
      <w:r>
        <w:rPr/>
        <w:t>1) осуществление медицинской организацией медицинской деятельности в соответствии с учредительными документами;</w:t>
      </w:r>
    </w:p>
    <w:p>
      <w:pPr>
        <w:pStyle w:val="ConsPlusNormal"/>
        <w:bidi w:val="0"/>
        <w:spacing w:before="160" w:after="0"/>
        <w:ind w:left="0" w:firstLine="540"/>
        <w:jc w:val="both"/>
        <w:rPr/>
      </w:pPr>
      <w:r>
        <w:rPr/>
        <w:t>2) наличие лицензии на осуществление медицинской деятельности, предусматривающей выполнение работ (услуг) по оказанию высокотехнологичной медицинской помощи по заявленным профилям высокотехнологичной медицинской помощи;</w:t>
      </w:r>
    </w:p>
    <w:p>
      <w:pPr>
        <w:pStyle w:val="ConsPlusNormal"/>
        <w:bidi w:val="0"/>
        <w:spacing w:before="160" w:after="0"/>
        <w:ind w:left="0" w:firstLine="540"/>
        <w:jc w:val="both"/>
        <w:rPr/>
      </w:pPr>
      <w:r>
        <w:rPr/>
        <w:t>3) наличие опыта оказания высокотехнологичной медицинской помощи по ее профилям и видам с применением методов лечения, которые предусмотрены перечнем видов высокотехнологичной медицинской помощи, установленным в рамках программы государственных гарантий бесплатного оказания гражданам медицинской помощи, утверждаемой ежегодно Правительством Российской Федерации;</w:t>
      </w:r>
    </w:p>
    <w:p>
      <w:pPr>
        <w:pStyle w:val="ConsPlusNormal"/>
        <w:bidi w:val="0"/>
        <w:spacing w:before="160" w:after="0"/>
        <w:ind w:left="0" w:firstLine="540"/>
        <w:jc w:val="both"/>
        <w:rPr/>
      </w:pPr>
      <w:r>
        <w:rPr/>
        <w:t>4) наличие в медицинских организациях специализированных отделений по профилям высокотехнологичной медицинской помощи;</w:t>
      </w:r>
    </w:p>
    <w:p>
      <w:pPr>
        <w:pStyle w:val="ConsPlusNormal"/>
        <w:bidi w:val="0"/>
        <w:spacing w:before="160" w:after="0"/>
        <w:ind w:left="0" w:firstLine="540"/>
        <w:jc w:val="both"/>
        <w:rPr/>
      </w:pPr>
      <w:r>
        <w:rPr/>
        <w:t>5) наличие в медицинской организации медицинского оборудования, обеспечивающего оказание высокотехнологичной медицинской помощи по профилям и видам с применением методов лечения, которые предусмотрены перечнем видов высокотехнологичной медицинской помощи, установленным в рамках программы государственных гарантий бесплатного оказания гражданам медицинской помощи, утверждаемой ежегодно Правительством Российской Федерации;</w:t>
      </w:r>
    </w:p>
    <w:p>
      <w:pPr>
        <w:pStyle w:val="ConsPlusNormal"/>
        <w:bidi w:val="0"/>
        <w:spacing w:before="160" w:after="0"/>
        <w:ind w:left="0" w:firstLine="540"/>
        <w:jc w:val="both"/>
        <w:rPr/>
      </w:pPr>
      <w:r>
        <w:rPr/>
        <w:t>6) наличие в штате медицинской организации медицинских работников, оказывающих высокотехнологичную медицинскую помощь по профилям и видам с применением методов лечения, которые предусмотрены перечнем видов высокотехнологичной медицинской помощи, установленным в рамках программы государственных гарантий бесплатного оказания гражданам медицинской помощи, утверждаемой ежегодно Правительством Российской Федерации;</w:t>
      </w:r>
    </w:p>
    <w:p>
      <w:pPr>
        <w:pStyle w:val="ConsPlusNormal"/>
        <w:bidi w:val="0"/>
        <w:spacing w:before="160" w:after="0"/>
        <w:ind w:left="0" w:firstLine="540"/>
        <w:jc w:val="both"/>
        <w:rPr/>
      </w:pPr>
      <w:r>
        <w:rPr/>
        <w:t>7) наличие в медицинской организации отделения реанимации и интенсивной терапии;</w:t>
      </w:r>
    </w:p>
    <w:p>
      <w:pPr>
        <w:pStyle w:val="ConsPlusNormal"/>
        <w:bidi w:val="0"/>
        <w:spacing w:before="160" w:after="0"/>
        <w:ind w:left="0" w:firstLine="540"/>
        <w:jc w:val="both"/>
        <w:rPr/>
      </w:pPr>
      <w:r>
        <w:rPr/>
        <w:t>8) наличие круглосуточного режима оказания специализированной медицинской помощи в медицинской организации, включая проведение диагностических исследований по профилям, соответствующим профилям высокотехнологичной медицинской помощи.</w:t>
      </w:r>
    </w:p>
    <w:p>
      <w:pPr>
        <w:pStyle w:val="ConsPlusNormal"/>
        <w:bidi w:val="0"/>
        <w:spacing w:before="160" w:after="0"/>
        <w:ind w:left="0" w:firstLine="540"/>
        <w:jc w:val="both"/>
        <w:rPr/>
      </w:pPr>
      <w:bookmarkStart w:id="4" w:name="Par62"/>
      <w:bookmarkEnd w:id="4"/>
      <w:r>
        <w:rPr/>
        <w:t xml:space="preserve">8. Комиссия на заседании рассматривает поступившие от медицинских организаций документы и сведения, указанные в </w:t>
      </w:r>
      <w:hyperlink w:anchor="Par40">
        <w:r>
          <w:rPr>
            <w:color w:val="0000FF"/>
          </w:rPr>
          <w:t>пункте 4</w:t>
        </w:r>
      </w:hyperlink>
      <w:r>
        <w:rPr/>
        <w:t xml:space="preserve"> настоящего Порядка, и на основании их анализа оценивает соответствие каждой медицинской организации, претендующей на включение в перечень, критериям отбора с вынесением одного из следующих заключений:</w:t>
      </w:r>
    </w:p>
    <w:p>
      <w:pPr>
        <w:pStyle w:val="ConsPlusNormal"/>
        <w:bidi w:val="0"/>
        <w:spacing w:before="160" w:after="0"/>
        <w:ind w:left="0" w:firstLine="540"/>
        <w:jc w:val="both"/>
        <w:rPr/>
      </w:pPr>
      <w:r>
        <w:rPr/>
        <w:t>1) соответствие медицинской организации критериям отбора с рекомендацией о ее включении в перечень;</w:t>
      </w:r>
    </w:p>
    <w:p>
      <w:pPr>
        <w:pStyle w:val="ConsPlusNormal"/>
        <w:bidi w:val="0"/>
        <w:spacing w:before="160" w:after="0"/>
        <w:ind w:left="0" w:firstLine="540"/>
        <w:jc w:val="both"/>
        <w:rPr/>
      </w:pPr>
      <w:r>
        <w:rPr/>
        <w:t>2) несоответствие медицинской организации критериям отбора с рекомендацией о невключении ее в перечень.</w:t>
      </w:r>
    </w:p>
    <w:p>
      <w:pPr>
        <w:pStyle w:val="ConsPlusNormal"/>
        <w:bidi w:val="0"/>
        <w:spacing w:before="160" w:after="0"/>
        <w:ind w:left="0" w:firstLine="540"/>
        <w:jc w:val="both"/>
        <w:rPr/>
      </w:pPr>
      <w:r>
        <w:rPr/>
        <w:t xml:space="preserve">9. Комиссия в течение 5 рабочих дней со дня вынесения одного из заключений, указанных в </w:t>
      </w:r>
      <w:hyperlink w:anchor="Par62">
        <w:r>
          <w:rPr>
            <w:color w:val="0000FF"/>
          </w:rPr>
          <w:t>пункте 8</w:t>
        </w:r>
      </w:hyperlink>
      <w:r>
        <w:rPr/>
        <w:t xml:space="preserve"> настоящего Порядка, в письменной форме информирует об этом медицинскую организацию, представившую заявку.</w:t>
      </w:r>
    </w:p>
    <w:p>
      <w:pPr>
        <w:pStyle w:val="ConsPlusNormal"/>
        <w:bidi w:val="0"/>
        <w:ind w:left="0" w:firstLine="540"/>
        <w:jc w:val="both"/>
        <w:rPr/>
      </w:pPr>
      <w:r>
        <w:rPr/>
      </w:r>
    </w:p>
    <w:p>
      <w:pPr>
        <w:pStyle w:val="ConsPlusNormal"/>
        <w:bidi w:val="0"/>
        <w:ind w:left="0" w:firstLine="54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Tahoma" w:cs="Droid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Tahoma"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Arial" w:hAnsi="Arial"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LAW&amp;n=494972&amp;dst=420" TargetMode="External"/><Relationship Id="rId4" Type="http://schemas.openxmlformats.org/officeDocument/2006/relationships/hyperlink" Target="https://login.consultant.ru/link/?req=doc&amp;base=RLAW049&amp;n=178216&amp;dst=100232" TargetMode="External"/><Relationship Id="rId5" Type="http://schemas.openxmlformats.org/officeDocument/2006/relationships/hyperlink" Target="https://login.consultant.ru/link/?req=doc&amp;base=RLAW049&amp;n=102977" TargetMode="External"/><Relationship Id="rId6" Type="http://schemas.openxmlformats.org/officeDocument/2006/relationships/hyperlink" Target="https://login.consultant.ru/link/?req=doc&amp;base=RLAW049&amp;n=102915"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LibreOffice/7.5.9.2$Linux_X86_64 LibreOffice_project/50$Build-2</Application>
  <AppVersion>15.0000</AppVersion>
  <Pages>3</Pages>
  <Words>1051</Words>
  <Characters>8268</Characters>
  <CharactersWithSpaces>9265</CharactersWithSpaces>
  <Paragraphs>55</Paragraphs>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2025-01-28T16:46:00Z</dcterms:created>
  <dc:creator/>
  <dc:description/>
  <dc:language>ru-RU</dc:language>
  <cp:lastModifiedBy/>
  <cp:revision>0</cp:revision>
  <dc:subject/>
  <dc:title>Постановление Правительства Новосибирской области от 22.06.2021 N 236-п"О Порядке формирования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областного бюджета Новосибирской области"</dc:title>
</cp:coreProperties>
</file>

<file path=docProps/custom.xml><?xml version="1.0" encoding="utf-8"?>
<Properties xmlns="http://schemas.openxmlformats.org/officeDocument/2006/custom-properties" xmlns:vt="http://schemas.openxmlformats.org/officeDocument/2006/docPropsVTypes"/>
</file>