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роект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4536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постановления Правительства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  <w:t xml:space="preserve">от 28.07.2015 № 291-п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  <w:lang w:eastAsia="ru-RU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Внести в постановление Правительства Новосибирской области от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28.07.2015 № 291-п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следующие изменения: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приложении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«Порядок </w:t>
      </w:r>
      <w:r>
        <w:rPr>
          <w:rFonts w:ascii="Times New Roman" w:hAnsi="Times New Roman" w:cs="Times New Roman"/>
          <w:color w:val="000000" w:themeColor="text1"/>
          <w:sz w:val="28"/>
          <w:szCs w:val="24"/>
          <w:highlight w:val="none"/>
        </w:rPr>
        <w:t xml:space="preserve">предоставления субсидий субъектам деятельности в сфере промышленности в рамках реализации мероприятий государственной программы Новосибирской области «Развитие промышленности и повышение ее конкурентоспособности в Новосибирской области</w:t>
      </w:r>
      <w:r>
        <w:rPr>
          <w:rFonts w:ascii="Times New Roman" w:hAnsi="Times New Roman" w:cs="Times New Roman"/>
          <w:color w:val="000000" w:themeColor="text1"/>
          <w:sz w:val="32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» (далее –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рядок):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Абзац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второй пункта 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рудование» - российская промышленная продукция, относимая в соответствии с Общероссийским классификатором продукции по видам экономической деятельности к классам 26, 27 и 28 (за исключением подкласса 28.3), которая включена в реестр российской промышлен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ной продукции, размещаемый в государственной информационной системе промышленности в соответствии с Федеральным законом «О промышленной политике в Российской Федераци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нкт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6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аправлением расходов, на возмещение которых предоставляется субсидия, являются фактически произведенные и документально подтвержденные затраты, связанные с приобретением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нового основного технологического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оборудования, в текущем году и (или) в течение двух лет, предшествующих текущем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 год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подпункте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пункта 7 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открытом доступе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исклю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чить.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пункте 11 слово «трех» заменить словом «пя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ти».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ункт 14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дополнить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абзацем седьмым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Отказ в предоставлении субсидии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основанию, указанному в подпункте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настоящего пункта, применяется в отношении участников отбора, в отношении которых отсутствуют иные основания для отказа в предоставлении субсидии и которые включены в рейтинг, сформированный по результатам ранжирования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поступивших заявок в соответствии с 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настоящего Порядка, но не признаны победителями отбора в соответствии с 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Правил отбор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а.».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ополнить пунктом 14.1 следующего содержания: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инистерство ранжирует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заявки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(за исключением заявок, отклоненных в соответствии с пунктом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настоящего Порядка)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основании данных из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справк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о планируемом достижении результата предоставления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характеристики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достижения результата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едоставления субсидии,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представленной участником отбора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определяемых по итогам 3-го года начиная с года получения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субсидии,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порядке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убывания суммарного количества баллов, присвоенных по результатам оценки заявок. Заявкам присваиваются порядковые номера начиная с заявки, которая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получила наибольшее количество баллов.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 равного количества баллов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меньший порядковый номер присваивается заявке, которая поступила ранее.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случае если суммарный объем субсидий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 заявкам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превышает объем лимитов бюджетных обязательств, утвержденных на соответствующий вид субсидии, субсидии предоставляются по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аявкам, имеющим более высокий порядковый номер.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Значение критерия оценки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определя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ется  рассчитывается как отношение значения показателя в рублях к сумме заявленной субсидии в рублях, на основании (с использованием) заявки и представленных в справке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планируемых достижениях результата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предоставления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 характеристики достижения результата предоставления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итогам 3-го года начиная с года получения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4172"/>
        <w:gridCol w:w="1133"/>
        <w:gridCol w:w="41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Критерий оценки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Весовое значение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Значение критерия оценки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Полная учетная стоимость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Минпромторга России (строка 07 графы 4 формы федерального статистического наблюдения № 11 «Сведения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 наличии и движении основных фондов (средств) и других нефинансовых активов»), нарастающим итогом за три года с года получения субсидии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17,00 до 19,99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- 20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20,00 до 24,99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- 40 баллов;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25,00 до 29,99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- 60 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30,00 до 34,99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- 80 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35,00 и выше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- 100 баллов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инвестиций в основной капитал по вид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none"/>
              </w:rPr>
              <w:t xml:space="preserve">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экономической деятельности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раздела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«Обрабатывающие производства»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Общероссийского классификатора видов экономической деятельности (накопленным итогом)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 за исключением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none"/>
              </w:rPr>
              <w:t xml:space="preserve">видов 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 не относящихся к сфере ведения Минпромторга России, нарастающим итогом за три года с года получения субсидии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17,00 до 19,99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- 20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20,00 до 24,99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- 40 баллов;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25,00 до 29,99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- 60 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30,00 до 34,99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- 80 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35,00 и выше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- 100 баллов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Объем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отгруженных товаров собственного производства, выполненных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собственными силами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работ и услуг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вид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экономической деятельности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«Обрабатывающие производства»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Общероссийского классификатора видов экономической деятельности (накопленным итогом)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 за исключением 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none"/>
              </w:rPr>
              <w:t xml:space="preserve">видов 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, не относящихся к сфере ведения Минпромторга России,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нарастающим итогом за три года с года получения субсидии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0,40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340,00 до 399,99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- 20 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400,00 до 599,99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- 40 баллов;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600,00 до 799,99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- 60 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800,00 до 999,99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- 80 баллов;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 1000,00 и выше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- 100 баллов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Оценка заявки рассчитывается по следующей формуле: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2277405</wp:posOffset>
                </wp:positionH>
                <wp:positionV relativeFrom="paragraph">
                  <wp:posOffset>187953</wp:posOffset>
                </wp:positionV>
                <wp:extent cx="602320" cy="565733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02319" cy="565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Times New Roman" w:cs="Times New Roman"/>
                                <w:sz w:val="2"/>
                                <w:szCs w:val="2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"/>
                                <w:szCs w:val="2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"/>
                                <w:szCs w:val="2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"/>
                                <w:szCs w:val="2"/>
                                <w:highlight w:val="none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Times New Roman" w:cs="Times New Roman"/>
                                <w:sz w:val="36"/>
                                <w:szCs w:val="36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36"/>
                                <w:szCs w:val="36"/>
                                <w:highlight w:val="none"/>
                              </w:rPr>
                              <w:t xml:space="preserve">Q =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36"/>
                                <w:szCs w:val="36"/>
                                <w:highlight w:val="none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36"/>
                                <w:szCs w:val="36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048;o:allowoverlap:true;o:allowincell:true;mso-position-horizontal-relative:text;margin-left:179.32pt;mso-position-horizontal:absolute;mso-position-vertical-relative:text;margin-top:14.80pt;mso-position-vertical:absolute;width:47.43pt;height:44.55pt;mso-wrap-distance-left:9.07pt;mso-wrap-distance-top:0.00pt;mso-wrap-distance-right:9.07pt;mso-wrap-distance-bottom:0.00pt;v-text-anchor:top;visibility:visible;" fillcolor="#FFFFFF" strokecolor="#FFFFFF" strokeweight="0.50pt">
                <v:stroke dashstyle="solid"/>
                <v:textbox inset="0,0,0,0">
                  <w:txbxContent>
                    <w:p>
                      <w:pPr>
                        <w:rPr>
                          <w:rFonts w:ascii="Times New Roman" w:hAnsi="Times New Roman" w:eastAsia="Times New Roman" w:cs="Times New Roman"/>
                          <w:sz w:val="2"/>
                          <w:szCs w:val="2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"/>
                          <w:szCs w:val="2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2"/>
                          <w:szCs w:val="2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2"/>
                          <w:szCs w:val="2"/>
                          <w:highlight w:val="none"/>
                        </w:rPr>
                      </w:r>
                    </w:p>
                    <w:p>
                      <w:pPr>
                        <w:rPr>
                          <w:rFonts w:ascii="Times New Roman" w:hAnsi="Times New Roman" w:eastAsia="Times New Roman" w:cs="Times New Roman"/>
                          <w:sz w:val="36"/>
                          <w:szCs w:val="36"/>
                          <w:highlight w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36"/>
                          <w:szCs w:val="36"/>
                          <w:highlight w:val="none"/>
                        </w:rPr>
                        <w:t xml:space="preserve">Q =</w:t>
                      </w:r>
                      <w:r>
                        <w:rPr>
                          <w:rFonts w:ascii="Times New Roman" w:hAnsi="Times New Roman" w:eastAsia="Times New Roman" w:cs="Times New Roman"/>
                          <w:sz w:val="36"/>
                          <w:szCs w:val="36"/>
                          <w:highlight w:val="none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36"/>
                          <w:szCs w:val="36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m:oMathPara>
        <m:oMathParaPr/>
        <m:oMath>
          <m:nary>
            <m:naryPr>
              <m:chr m:val="∑"/>
              <m:grow m:val="off"/>
              <m:limLoc m:val="undOvr"/>
              <m:ctrlPr>
                <w:rPr>
                  <w:rFonts w:ascii="Cambria Math" w:hAnsi="Cambria Math" w:eastAsia="Cambria Math" w:cs="Cambria Math"/>
                  <w:i/>
                  <w:color w:val="000000" w:themeColor="text1"/>
                  <w:sz w:val="28"/>
                  <w:szCs w:val="28"/>
                  <w:highlight w:val="none"/>
                </w:rPr>
              </m:ctrlPr>
            </m:naryPr>
            <m:sub>
              <m:r>
                <w:rPr>
                  <w:rFonts w:ascii="Cambria Math" w:hAnsi="Cambria Math" w:eastAsia="Cambria Math" w:cs="Cambria Math"/>
                  <w:color w:val="000000" w:themeColor="text1"/>
                  <w:highlight w:val="none"/>
                </w:rPr>
                <m:rPr/>
                <m:t>j</m:t>
              </m:r>
              <m:r>
                <w:rPr>
                  <w:rFonts w:ascii="Cambria Math" w:hAnsi="Cambria Math" w:eastAsia="Cambria Math" w:cs="Cambria Math"/>
                  <w:color w:val="000000" w:themeColor="text1"/>
                  <w:highlight w:val="none"/>
                </w:rPr>
                <m:rPr/>
                <m:t>=1</m:t>
              </m:r>
            </m:sub>
            <m:sup>
              <m:r>
                <w:rPr>
                  <w:rFonts w:hint="default" w:ascii="Cambria Math" w:hAnsi="Cambria Math" w:eastAsia="Cambria Math" w:cs="Cambria Math"/>
                  <w:color w:val="000000" w:themeColor="text1"/>
                  <w:sz w:val="28"/>
                  <w:szCs w:val="28"/>
                  <w:highlight w:val="none"/>
                </w:rPr>
                <m:rPr>
                  <m:sty m:val="i"/>
                </m:rPr>
                <m:t>3</m:t>
              </m:r>
            </m:sup>
            <m:e>
              <m:sSub>
                <m:sSubPr>
                  <m:ctrlPr>
                    <w:rPr>
                      <w:rFonts w:ascii="Cambria Math" w:hAnsi="Cambria Math" w:eastAsia="Cambria Math" w:cs="Cambria Math"/>
                      <w:i/>
                      <w:color w:val="000000" w:themeColor="text1"/>
                      <w:sz w:val="28"/>
                      <w:highlight w:val="none"/>
                    </w:rPr>
                  </m:ctrlPr>
                </m:sSubPr>
                <m:e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>
                      <m:sty m:val="i"/>
                    </m:rPr>
                    <m:t>q</m:t>
                  </m:r>
                </m:e>
                <m:sub>
                  <m:r>
                    <w:rPr>
                      <w:rFonts w:hint="default" w:ascii="Cambria Math" w:hAnsi="Cambria Math" w:eastAsia="Cambria Math" w:cs="Cambria Math"/>
                      <w:color w:val="000000" w:themeColor="text1"/>
                      <w:sz w:val="28"/>
                      <w:szCs w:val="28"/>
                      <w:highlight w:val="none"/>
                    </w:rPr>
                    <m:rPr>
                      <m:sty m:val="i"/>
                    </m:rPr>
                    <m:t>j</m:t>
                  </m:r>
                </m:sub>
              </m:sSub>
            </m:e>
          </m:nary>
        </m:oMath>
      </m:oMathPara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Q - оценка заявки;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j - номер критерия оценки заявки;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qj - балл, присваиваемый j-му критерию оценки заявки (с учетом весового значен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ия).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пункте 15: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0" w:line="240" w:lineRule="auto"/>
        <w:rPr>
          <w:color w:val="000000" w:themeColor="text1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цифры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«10,0» заменить цифрами «20,0»;</w:t>
      </w:r>
      <w:r>
        <w:rPr>
          <w:color w:val="000000" w:themeColor="text1"/>
          <w:highlight w:val="none"/>
          <w14:ligatures w14:val="none"/>
        </w:rPr>
      </w:r>
      <w:r>
        <w:rPr>
          <w:color w:val="000000" w:themeColor="text1"/>
          <w:highlight w:val="none"/>
          <w14:ligatures w14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дополнить абзацами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«В случае, если у победителя отбора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подтвержденная сумма понесенных затрат превышает сумму указанную в заявке, размер субсидии составляет сумму указанную в заявке.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случае, если у победителя отбора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подтвержденная сумма понесенных затрат меньше суммы указанной в заявке, размер субсидии составляет сумму в объеме подтвержденных понесенных затрат, при этом значения показателей принимаются равными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представленным в справке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планируемом достижении результата предоставления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характеристики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достижения результата 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едоставления субсидии,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представленной участником отбора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при ранжировании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заявок.</w:t>
      </w:r>
      <w:r>
        <w:rPr>
          <w:color w:val="000000" w:themeColor="text1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пункте 16: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подпункт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увеличение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объем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инвестиций в основной капитал по вид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«Обрабатывающие производства»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Общероссийского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за исключением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видов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не относящихся к сфере ведения Минпромторга России, нарастающим итогом за три года с года получения субсидии;»;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подпункт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«3) увеличение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бъем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отгруженных товаров собственного производства, выполненных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собственными силами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работ и услуг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вид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«Обрабатывающие производства»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Общероссийского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за исключением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видов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не относящихся к сфере ведения Минпромторга России,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растающим итогом за три года с года получения субсидии.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пункте 17: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подпункт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объем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инвестиций в основной капитал по вид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раздела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«Обрабатывающие производства»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Общероссийского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за исключением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видов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не относящихся к сфере ведения Минпромторга России, нарастающим итогом за три года с года получения субсидии;»;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подпункт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«3) 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бъем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отгруженных товаров собственного производства, выполненных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собственными силами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работ и услуг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вид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«Обрабатывающие производства»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Общероссийского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за исключением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видов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не относящихся к сфере ведения Минпромторга России,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растающим итогом за три года с года получения субсидии.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В подпун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подпункта 23 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получения субсиди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и» дополнить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(путем создания новой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версии отчета).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Пункт 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6. Министерство в течение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40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рабочих дней со дня представления получателем субсидии отчетов, указанных в пунктах 23, 25 настоящего Порядка, осуществляе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проверку на полноту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корректность заполнения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представленных в отчета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х сведений и значений результатов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и характеристик, указанных в пунктах 16, 17 настоящего Порядка, установленных министерством в Соглашении и их принятие.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проверке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уточненного отчета, указанного в подпункте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 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используются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данные дополнительной отчетности 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казанной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пункте 25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После пункта 26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дополнить пунктами 26.1-26.5 следующего содержания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26.1. Достижение значений результатов определяется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путем сравнения фактически достигнутого значения результата по данным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дополнительной отчетности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арастающим итогом за три года с года получе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 плановым значением результата, установленным Соглашением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26.2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По результатам проверки министерство принимает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отчеты, указанные в пунктах 23, 25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или возвращает их на доработку получателю субсидии с указанием причин возврата, указанных в пунктах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26.3 и (или) 26.4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26.3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Возврат на доработку отчетов,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пункте 23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осуществляется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в форме отчета о достижении значений результатов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характеристик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 заполнены обязательные к заполнению графы;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наличие в отчете о достижении значений результатов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характеристик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технических ошибок, опечаток,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нечитаемых фрагментов;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плановые значения результатов в отчете о достижении значений результатов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характеристик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 совпадают с плановыми значениями результатов, указанными в Соглашении;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 фактически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достигнутые 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результа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уточненном отчете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 совпадают со значениями,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дополнительной отчетности.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26.4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Возврат на доработку дополнительной отчетности осуществляется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 заполнены обязательные к заполнению графы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дополнительной отчетности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не представлена или представлена не в полном объеме дополнительная отчетность;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наличие технических ошибок, опечаток, зачеркиваний, исправлений, нечитаемых фрагментов.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26.5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Получатель субсидии осуществляет доработку отчетов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пунктах 23, 25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в течение пяти рабочих дней со дня получения на доработку и представляет доработанные отчеты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пунктах 23, 25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ГИИС «Электронный бюджет».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Министерство в течение пяти рабочих дней со дня истечения срока, указанного в абзаце перв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ом настоящего пункта, осуществляет проверку доработанных отчетов,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пунктах 23, 25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после чего принимает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доработанные отчеты,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пунктах 23, 25 настоящего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или направляет их на повторную доработку в порядке, предусмотренном пунктами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26.2-26.4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После пункта 28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дополнить пунктами 28.1, 28.2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«28.1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Контроль за соблюдением получателем субсидии условий и порядка предоставления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убсидии, в том числе в части достижения резуль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тата,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осуществляется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рством путем проведения плановых и (или) внеплановых проверок.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Плановые проверки проводятся по месту нахождения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мин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истерства на основании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пунктах 23, 25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28.2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 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неплановые проверки проводятся по месту нахождения получателя субсидии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месту нахождения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 основании приказа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истерства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 непредставле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ния получателем субсидии отчетов,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пунктах 23, 25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установления при проверке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указа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пунктах 23, 25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факта представления получателем субсидии недостоверных сведений;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 выявления нарушений получателем субсидий порядка и условий предоставления субсидий при проведении проверок органами государственного финансового контроля;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 поступления в министерство от правоохранительных органов, органов государственной власти, юридических, физических лиц информации (кроме анонимных сообщений) о нарушении получателями субсидий порядка и условий предоставления субси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риложении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№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 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подпункт 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признать утратившим силу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подпункт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 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«1) информацию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направленности проекта на организацию и/или модернизацию производства комплектующих изделий, применяемых в составе промышленной продукции, перечисленной в приложении к постановлению Правительства Российской Федерации от 17.07.2015 № 719 «О подтверждении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роизводства российской промышленной продукции»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после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пункта 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дополнить пунктом 5.1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Скриншот экрана, подтверждающий регист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субъекта деятельности в сфере промышленности подающего заявку на участие в отборе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государственной информационной системе промышленности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сети «Интернет» (https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://gisp.gov.ru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приложение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Справка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планируемом достижении результата предоставления</w:t>
      </w:r>
      <w:r>
        <w:rPr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субсидии и характеристики достижения</w:t>
      </w:r>
      <w:r>
        <w:rPr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результата предоставления субс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 изложить в редакции согласно приложению к настоящему постановлению.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№ 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 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абз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ац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второй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после таблицы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изложить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Объем инвестиций в основной капитал по вид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экономической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«Обрабатывающие производства»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Общеросси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за исключением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видов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не относящихся к сфере ведения Минпромторга России, рублей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ц третий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после таблицы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изложить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Объем отгруженных товаров собственного производства, выполненных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собственными силами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работ и услуг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вид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экономической деятельности «Обрабатывающие производства»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Общеросси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ского классификатора видов экономической деятельности (накопленным итогом)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за исключением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видов деятельности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не относящихся к сфере ведения Минпромторга России, рублей.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Губернатор Новосибирской области                                                  А.А. Травников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Д.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Е. Рягузов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p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238 6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88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</w:p>
    <w:sectPr>
      <w:headerReference w:type="default" r:id="rId9"/>
      <w:headerReference w:type="first" r:id="rId10"/>
      <w:footnotePr/>
      <w:endnotePr/>
      <w:type w:val="continuous"/>
      <w:pgSz w:w="11906" w:h="16838" w:orient="portrait"/>
      <w:pgMar w:top="1021" w:right="567" w:bottom="1021" w:left="1418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0"/>
    <w:next w:val="860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1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0"/>
    <w:next w:val="8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1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1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1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1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1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1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1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64"/>
    <w:uiPriority w:val="99"/>
  </w:style>
  <w:style w:type="character" w:styleId="714">
    <w:name w:val="Footer Char"/>
    <w:basedOn w:val="861"/>
    <w:link w:val="867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Header"/>
    <w:basedOn w:val="860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61"/>
    <w:link w:val="864"/>
    <w:uiPriority w:val="99"/>
  </w:style>
  <w:style w:type="table" w:styleId="866">
    <w:name w:val="Table Grid"/>
    <w:basedOn w:val="8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Footer"/>
    <w:basedOn w:val="860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861"/>
    <w:link w:val="867"/>
    <w:uiPriority w:val="99"/>
  </w:style>
  <w:style w:type="paragraph" w:styleId="869">
    <w:name w:val="List Paragraph"/>
    <w:basedOn w:val="860"/>
    <w:uiPriority w:val="34"/>
    <w:qFormat/>
    <w:pPr>
      <w:contextualSpacing/>
      <w:ind w:left="720"/>
    </w:pPr>
  </w:style>
  <w:style w:type="paragraph" w:styleId="870">
    <w:name w:val="Balloon Text"/>
    <w:basedOn w:val="860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861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73">
    <w:name w:val="annotation reference"/>
    <w:basedOn w:val="861"/>
    <w:uiPriority w:val="99"/>
    <w:semiHidden/>
    <w:unhideWhenUsed/>
    <w:rPr>
      <w:sz w:val="16"/>
      <w:szCs w:val="16"/>
    </w:rPr>
  </w:style>
  <w:style w:type="paragraph" w:styleId="874">
    <w:name w:val="annotation text"/>
    <w:basedOn w:val="860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Текст примечания Знак"/>
    <w:basedOn w:val="861"/>
    <w:link w:val="874"/>
    <w:uiPriority w:val="99"/>
    <w:semiHidden/>
    <w:rPr>
      <w:sz w:val="20"/>
      <w:szCs w:val="20"/>
    </w:rPr>
  </w:style>
  <w:style w:type="paragraph" w:styleId="876">
    <w:name w:val="annotation subject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Тема примечания Знак"/>
    <w:basedOn w:val="875"/>
    <w:link w:val="87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4918-3744-4E4C-A1B6-244C7B50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revision>20</cp:revision>
  <dcterms:created xsi:type="dcterms:W3CDTF">2024-10-28T04:40:00Z</dcterms:created>
  <dcterms:modified xsi:type="dcterms:W3CDTF">2025-07-15T11:56:25Z</dcterms:modified>
</cp:coreProperties>
</file>