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1A" w:rsidRDefault="00D4303E">
      <w:pPr>
        <w:jc w:val="right"/>
      </w:pPr>
      <w:r>
        <w:t xml:space="preserve">Проект </w:t>
      </w:r>
    </w:p>
    <w:p w:rsidR="004F591A" w:rsidRDefault="00D4303E">
      <w:pPr>
        <w:jc w:val="right"/>
      </w:pPr>
      <w:r>
        <w:t>постановления Правительства</w:t>
      </w:r>
    </w:p>
    <w:p w:rsidR="004F591A" w:rsidRDefault="00D4303E">
      <w:pPr>
        <w:jc w:val="right"/>
      </w:pPr>
      <w:r>
        <w:t>Новосибирской области</w:t>
      </w:r>
    </w:p>
    <w:p w:rsidR="004F591A" w:rsidRDefault="004F591A">
      <w:pPr>
        <w:jc w:val="right"/>
      </w:pPr>
    </w:p>
    <w:p w:rsidR="004F591A" w:rsidRDefault="004F591A">
      <w:pPr>
        <w:jc w:val="right"/>
      </w:pPr>
    </w:p>
    <w:p w:rsidR="004F591A" w:rsidRDefault="004F591A">
      <w:pPr>
        <w:jc w:val="right"/>
      </w:pPr>
    </w:p>
    <w:p w:rsidR="004F591A" w:rsidRDefault="004F591A">
      <w:pPr>
        <w:jc w:val="right"/>
      </w:pPr>
    </w:p>
    <w:p w:rsidR="004F591A" w:rsidRDefault="00D4303E">
      <w:pPr>
        <w:jc w:val="center"/>
      </w:pPr>
      <w:r>
        <w:t>О внесении изменений в постановление Правительства Новосибирской области</w:t>
      </w:r>
    </w:p>
    <w:p w:rsidR="004F591A" w:rsidRDefault="00D4303E">
      <w:pPr>
        <w:jc w:val="center"/>
      </w:pPr>
      <w:r>
        <w:t>от 28.09.2021 № 386-п</w:t>
      </w:r>
    </w:p>
    <w:p w:rsidR="004F591A" w:rsidRDefault="004F591A">
      <w:pPr>
        <w:jc w:val="both"/>
      </w:pPr>
    </w:p>
    <w:p w:rsidR="004F591A" w:rsidRDefault="004F591A">
      <w:pPr>
        <w:jc w:val="both"/>
      </w:pPr>
    </w:p>
    <w:p w:rsidR="004F591A" w:rsidRDefault="00D4303E">
      <w:pPr>
        <w:ind w:firstLine="720"/>
        <w:contextualSpacing/>
        <w:jc w:val="both"/>
      </w:pPr>
      <w:r>
        <w:t>Правительство Новосибирской области</w:t>
      </w:r>
      <w:r>
        <w:rPr>
          <w:b/>
        </w:rPr>
        <w:t xml:space="preserve"> п о с </w:t>
      </w:r>
      <w:proofErr w:type="gramStart"/>
      <w:r>
        <w:rPr>
          <w:b/>
        </w:rPr>
        <w:t>т</w:t>
      </w:r>
      <w:proofErr w:type="gramEnd"/>
      <w:r>
        <w:rPr>
          <w:b/>
        </w:rPr>
        <w:t> а н о в л я е т</w:t>
      </w:r>
      <w:r>
        <w:t>:</w:t>
      </w:r>
    </w:p>
    <w:p w:rsidR="004F591A" w:rsidRDefault="00D4303E">
      <w:pPr>
        <w:ind w:firstLine="720"/>
        <w:contextualSpacing/>
        <w:jc w:val="both"/>
        <w:rPr>
          <w:rFonts w:eastAsia="Calibri"/>
        </w:rPr>
      </w:pPr>
      <w:r>
        <w:rPr>
          <w:rFonts w:eastAsia="Calibri"/>
        </w:rPr>
        <w:t>Внести в постан</w:t>
      </w:r>
      <w:r>
        <w:rPr>
          <w:rFonts w:eastAsia="Calibri"/>
        </w:rPr>
        <w:t>овление Правительства Новосибирской области от 28.09.2021 № 386-п «Об организации и осуществлении регионального государственного контроля (надзора) за состоянием Музейного фонда Российской Федерации на территории Новосибирской области» следующие изменения:</w:t>
      </w:r>
    </w:p>
    <w:p w:rsidR="004F591A" w:rsidRDefault="00E93786">
      <w:pPr>
        <w:ind w:firstLine="720"/>
        <w:contextualSpacing/>
        <w:jc w:val="both"/>
        <w:rPr>
          <w:rFonts w:eastAsia="Calibri"/>
        </w:rPr>
      </w:pPr>
      <w:r>
        <w:rPr>
          <w:rFonts w:eastAsia="Calibri"/>
        </w:rPr>
        <w:t>1. </w:t>
      </w:r>
      <w:r w:rsidR="00D4303E">
        <w:rPr>
          <w:rFonts w:eastAsia="Calibri"/>
        </w:rPr>
        <w:t>В Положении о региональном государственном контроле (надзоре) за состоянием Музейного фонда Российской Федерации на территории Новосибирской области:</w:t>
      </w:r>
    </w:p>
    <w:p w:rsidR="004F591A" w:rsidRDefault="00E93786">
      <w:pPr>
        <w:ind w:firstLine="720"/>
        <w:contextualSpacing/>
        <w:jc w:val="both"/>
      </w:pPr>
      <w:r>
        <w:t>1) </w:t>
      </w:r>
      <w:r w:rsidR="00D4303E">
        <w:rPr>
          <w:rFonts w:eastAsia="Calibri"/>
        </w:rPr>
        <w:t>пункт 7</w:t>
      </w:r>
      <w:r w:rsidR="00D4303E">
        <w:t xml:space="preserve"> д</w:t>
      </w:r>
      <w:r w:rsidR="00D4303E">
        <w:rPr>
          <w:rFonts w:eastAsia="Calibri"/>
        </w:rPr>
        <w:t>ополнить абзацами следующего содержания</w:t>
      </w:r>
      <w:r w:rsidR="00D4303E">
        <w:t>:</w:t>
      </w:r>
    </w:p>
    <w:p w:rsidR="004F591A" w:rsidRDefault="00D4303E">
      <w:pPr>
        <w:ind w:firstLine="720"/>
        <w:contextualSpacing/>
        <w:jc w:val="both"/>
      </w:pPr>
      <w:r>
        <w:t>«Перечень объектов контроля ведется в едином реес</w:t>
      </w:r>
      <w:r>
        <w:t>тре видов федерального государственного контроля (надзора), регионального государственного контроля (надзора), муниципального контроля (далее – единый реестр видов контроля).</w:t>
      </w:r>
    </w:p>
    <w:p w:rsidR="004F591A" w:rsidRDefault="00D4303E">
      <w:pPr>
        <w:ind w:firstLine="720"/>
        <w:contextualSpacing/>
        <w:jc w:val="both"/>
      </w:pPr>
      <w:r>
        <w:t>Перечень объектов контроля размещается на официальном сайте Министерства посредст</w:t>
      </w:r>
      <w:r>
        <w:t>вом публикации части официального сайта единого реестра видов контроля в сети «Интернет» для отображения соответствующего перечня объектов контроля (</w:t>
      </w:r>
      <w:proofErr w:type="spellStart"/>
      <w:r>
        <w:t>виджет</w:t>
      </w:r>
      <w:proofErr w:type="spellEnd"/>
      <w:r>
        <w:t>) на официальном сайте Ми</w:t>
      </w:r>
      <w:r w:rsidR="00E93786">
        <w:t>нистерства в сети «Интернет».»;</w:t>
      </w:r>
    </w:p>
    <w:p w:rsidR="004F591A" w:rsidRDefault="00E93786">
      <w:pPr>
        <w:ind w:firstLine="720"/>
        <w:contextualSpacing/>
        <w:jc w:val="both"/>
      </w:pPr>
      <w:r>
        <w:t>2) </w:t>
      </w:r>
      <w:r w:rsidR="00D4303E">
        <w:t>пункт 11 изложить в следующей редакции:</w:t>
      </w:r>
    </w:p>
    <w:p w:rsidR="004F591A" w:rsidRDefault="00E93786">
      <w:pPr>
        <w:ind w:firstLine="720"/>
        <w:contextualSpacing/>
        <w:jc w:val="both"/>
      </w:pPr>
      <w:r>
        <w:t>«11. </w:t>
      </w:r>
      <w:r w:rsidR="00D4303E">
        <w:t>Отнесение объектов контроля к одной из категорий риска, а также изменение категории риска, к которой ранее был отнесен объект контроля, осуществляется по решению Министра либо лица, исполняющего его обязанности, в соответствии с критериями отнесения о</w:t>
      </w:r>
      <w:r w:rsidR="00D4303E">
        <w:t xml:space="preserve">бъектов регионального контроля к категориям риска согласно </w:t>
      </w:r>
      <w:proofErr w:type="gramStart"/>
      <w:r w:rsidR="00D4303E">
        <w:t>приложению</w:t>
      </w:r>
      <w:proofErr w:type="gramEnd"/>
      <w:r w:rsidR="00D4303E">
        <w:t xml:space="preserve"> к настоящему Положению</w:t>
      </w:r>
      <w:r w:rsidR="00D4303E">
        <w:rPr>
          <w:color w:val="000000"/>
        </w:rPr>
        <w:t>.</w:t>
      </w:r>
      <w:r w:rsidR="00D4303E">
        <w:t xml:space="preserve"> </w:t>
      </w:r>
    </w:p>
    <w:p w:rsidR="004F591A" w:rsidRDefault="00D4303E">
      <w:pPr>
        <w:ind w:firstLine="720"/>
        <w:contextualSpacing/>
        <w:jc w:val="both"/>
      </w:pPr>
      <w:r>
        <w:t>Решение об отнесении объектов контроля к категориям риска причинения вреда (ущерба) охраняемым законом ценностям в рамках осуществления вида контроля принимается</w:t>
      </w:r>
      <w:r>
        <w:t xml:space="preserve"> путем подписания данных об объекте контроля с указанием сведений о контролируемом лице, описания объекта контроля и присвоенной категории рис</w:t>
      </w:r>
      <w:r w:rsidR="00E93786">
        <w:t>ка в перечне объектов контроля»;</w:t>
      </w:r>
    </w:p>
    <w:p w:rsidR="004F591A" w:rsidRDefault="00E93786">
      <w:pPr>
        <w:ind w:firstLine="720"/>
        <w:contextualSpacing/>
        <w:jc w:val="both"/>
      </w:pPr>
      <w:r>
        <w:t>3) </w:t>
      </w:r>
      <w:r w:rsidR="00D4303E">
        <w:t>пункт 12 изложить в следующей редакции:</w:t>
      </w:r>
    </w:p>
    <w:p w:rsidR="004F591A" w:rsidRDefault="00E93786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«12. </w:t>
      </w:r>
      <w:r w:rsidR="00D4303E">
        <w:rPr>
          <w:sz w:val="28"/>
          <w:szCs w:val="28"/>
        </w:rPr>
        <w:t xml:space="preserve">Плановые контрольные (надзорные) </w:t>
      </w:r>
      <w:r w:rsidR="00D4303E">
        <w:rPr>
          <w:sz w:val="28"/>
          <w:szCs w:val="28"/>
        </w:rPr>
        <w:t>мероприятия, обязательные профилактические визиты, проводимые в соответствии с пунктом 1 части 1 статьи 52.1 Федерального закона № 248-ФЗ, в отношении объектов контроля в зависимости от присвоенной категории риска проводятся:</w:t>
      </w:r>
    </w:p>
    <w:p w:rsidR="004F591A" w:rsidRDefault="00E93786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4303E">
        <w:rPr>
          <w:sz w:val="28"/>
          <w:szCs w:val="28"/>
        </w:rPr>
        <w:t>для объектов контроля, отне</w:t>
      </w:r>
      <w:r w:rsidR="00D4303E">
        <w:rPr>
          <w:sz w:val="28"/>
          <w:szCs w:val="28"/>
        </w:rPr>
        <w:t xml:space="preserve">сенных к категории высокого риска, </w:t>
      </w:r>
      <w:r w:rsidR="00D4303E">
        <w:rPr>
          <w:sz w:val="28"/>
          <w:szCs w:val="28"/>
        </w:rPr>
        <w:lastRenderedPageBreak/>
        <w:t>предусматривается проведение одного из следующих контрольных (надзорных) мероприятий:</w:t>
      </w:r>
    </w:p>
    <w:p w:rsidR="004F591A" w:rsidRDefault="00D4303E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инспекционный визит – один раз в 2 года;</w:t>
      </w:r>
    </w:p>
    <w:p w:rsidR="004F591A" w:rsidRDefault="00D4303E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документарная проверка – один раз в 2 года;</w:t>
      </w:r>
    </w:p>
    <w:p w:rsidR="004F591A" w:rsidRDefault="00D4303E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выездная проверка – один раз в 2 года;</w:t>
      </w:r>
    </w:p>
    <w:p w:rsidR="004F591A" w:rsidRDefault="00E93786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4303E">
        <w:rPr>
          <w:sz w:val="28"/>
          <w:szCs w:val="28"/>
        </w:rPr>
        <w:t>для объектов контроля, отнесенных к категории среднего риска обязательные профилактические визиты проводятся в соответствии с периодичностью, определяемой согласно пункту 3 части 2 статьи 2</w:t>
      </w:r>
      <w:r>
        <w:rPr>
          <w:sz w:val="28"/>
          <w:szCs w:val="28"/>
        </w:rPr>
        <w:t>5 Федерального закона № 248-ФЗ.</w:t>
      </w:r>
    </w:p>
    <w:p w:rsidR="004F591A" w:rsidRDefault="00D4303E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Плановые контрольные (надзорные</w:t>
      </w:r>
      <w:r>
        <w:rPr>
          <w:sz w:val="28"/>
          <w:szCs w:val="28"/>
        </w:rPr>
        <w:t>) мероприятия, обязательные профилактические визиты в соответствии с пунктом 1 части 1 статьи 52.1 Федерального закона № 248-ФЗ в отношении объектов контроля, отнесенных к категории</w:t>
      </w:r>
      <w:r w:rsidR="00E93786">
        <w:rPr>
          <w:sz w:val="28"/>
          <w:szCs w:val="28"/>
        </w:rPr>
        <w:t xml:space="preserve"> низкого риска, не проводятся.»;</w:t>
      </w:r>
    </w:p>
    <w:p w:rsidR="004F591A" w:rsidRDefault="00E93786">
      <w:pPr>
        <w:ind w:firstLine="720"/>
        <w:contextualSpacing/>
        <w:jc w:val="both"/>
      </w:pPr>
      <w:r>
        <w:t>4) </w:t>
      </w:r>
      <w:r w:rsidR="00D4303E">
        <w:t>пункт 21 изложить в следующей редакции:</w:t>
      </w:r>
    </w:p>
    <w:p w:rsidR="004F591A" w:rsidRDefault="00D4303E">
      <w:pPr>
        <w:ind w:firstLine="720"/>
        <w:contextualSpacing/>
        <w:jc w:val="both"/>
      </w:pPr>
      <w:r>
        <w:t>«21. 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4F591A" w:rsidRDefault="00D4303E">
      <w:pPr>
        <w:ind w:firstLine="720"/>
        <w:contextualSpacing/>
        <w:jc w:val="both"/>
      </w:pPr>
      <w:r>
        <w:t>В ходе профилактического виз</w:t>
      </w:r>
      <w:r>
        <w:t>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</w:t>
      </w:r>
      <w:r>
        <w:t>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</w:t>
      </w:r>
      <w:r>
        <w:t>а, и проводит оценку уровня соблюдения контролируемым лицом обязательных требований.</w:t>
      </w:r>
    </w:p>
    <w:p w:rsidR="004F591A" w:rsidRDefault="00D4303E">
      <w:pPr>
        <w:ind w:firstLine="720"/>
        <w:contextualSpacing/>
        <w:jc w:val="both"/>
      </w:pPr>
      <w:r>
        <w:t>Профилактический визит проводится по инициативе Министерства (обязательный профилактический визит) или по ин</w:t>
      </w:r>
      <w:r w:rsidR="00E93786">
        <w:t>ициативе контролируемого лица.»;</w:t>
      </w:r>
    </w:p>
    <w:p w:rsidR="004F591A" w:rsidRDefault="00D4303E">
      <w:pPr>
        <w:ind w:firstLine="720"/>
        <w:contextualSpacing/>
        <w:jc w:val="both"/>
      </w:pPr>
      <w:r>
        <w:t>5)</w:t>
      </w:r>
      <w:r w:rsidR="00E93786">
        <w:rPr>
          <w:lang w:eastAsia="ar-SA"/>
        </w:rPr>
        <w:t> </w:t>
      </w:r>
      <w:r>
        <w:rPr>
          <w:lang w:eastAsia="ar-SA"/>
        </w:rPr>
        <w:t>дополнить</w:t>
      </w:r>
      <w:r>
        <w:rPr>
          <w:rFonts w:eastAsia="Calibri"/>
        </w:rPr>
        <w:t xml:space="preserve"> </w:t>
      </w:r>
      <w:r>
        <w:rPr>
          <w:lang w:eastAsia="ar-SA"/>
        </w:rPr>
        <w:t xml:space="preserve">пунктами </w:t>
      </w:r>
      <w:r>
        <w:rPr>
          <w:rFonts w:eastAsia="Calibri"/>
        </w:rPr>
        <w:t>21.1</w:t>
      </w:r>
      <w:r w:rsidR="00E93786">
        <w:rPr>
          <w:rFonts w:eastAsia="Calibri"/>
        </w:rPr>
        <w:t> </w:t>
      </w:r>
      <w:r>
        <w:rPr>
          <w:rFonts w:eastAsia="Calibri"/>
        </w:rPr>
        <w:t>–</w:t>
      </w:r>
      <w:r w:rsidR="00E93786">
        <w:rPr>
          <w:rFonts w:eastAsia="Calibri"/>
        </w:rPr>
        <w:t> </w:t>
      </w:r>
      <w:r>
        <w:rPr>
          <w:rFonts w:eastAsia="Calibri"/>
        </w:rPr>
        <w:t>21.</w:t>
      </w:r>
      <w:r>
        <w:rPr>
          <w:rFonts w:eastAsia="Calibri"/>
        </w:rPr>
        <w:t>2 следующего содержания</w:t>
      </w:r>
      <w:r>
        <w:t>:</w:t>
      </w:r>
    </w:p>
    <w:p w:rsidR="004F591A" w:rsidRDefault="00E93786">
      <w:pPr>
        <w:ind w:firstLine="720"/>
        <w:contextualSpacing/>
        <w:jc w:val="both"/>
      </w:pPr>
      <w:r>
        <w:t>«21.1 </w:t>
      </w:r>
      <w:r w:rsidR="00D4303E">
        <w:t>Обязательный профилактический визит проводится:</w:t>
      </w:r>
    </w:p>
    <w:p w:rsidR="004F591A" w:rsidRDefault="00D4303E">
      <w:pPr>
        <w:ind w:firstLine="720"/>
        <w:contextualSpacing/>
        <w:jc w:val="both"/>
      </w:pPr>
      <w: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</w:t>
      </w:r>
      <w:r>
        <w:t xml:space="preserve"> мероприятий, в соответствии с пунктом 12 настоящего Положения;</w:t>
      </w:r>
    </w:p>
    <w:p w:rsidR="004F591A" w:rsidRDefault="00D4303E">
      <w:pPr>
        <w:ind w:firstLine="720"/>
        <w:contextualSpacing/>
        <w:jc w:val="both"/>
      </w:pPr>
      <w:r>
        <w:t>2) по поручению:</w:t>
      </w:r>
    </w:p>
    <w:p w:rsidR="004F591A" w:rsidRDefault="00D4303E">
      <w:pPr>
        <w:ind w:firstLine="720"/>
        <w:contextualSpacing/>
        <w:jc w:val="both"/>
      </w:pPr>
      <w:r>
        <w:t>Президента Российской Федерации;</w:t>
      </w:r>
    </w:p>
    <w:p w:rsidR="004F591A" w:rsidRDefault="00D4303E">
      <w:pPr>
        <w:ind w:firstLine="720"/>
        <w:contextualSpacing/>
        <w:jc w:val="both"/>
      </w:pPr>
      <w:r>
        <w:t>Председателя Правительства Российской Федерации или Заместителя Председателя Правительства Российской Федерации, согласованному с Заместителем</w:t>
      </w:r>
      <w:r>
        <w:t xml:space="preserve"> Председателя Правительства Российской Федерации - Руководителем Аппарата Правительства Российской Федерации;</w:t>
      </w:r>
    </w:p>
    <w:p w:rsidR="004F591A" w:rsidRDefault="00D4303E">
      <w:pPr>
        <w:ind w:firstLine="720"/>
        <w:contextualSpacing/>
        <w:jc w:val="both"/>
      </w:pPr>
      <w:r>
        <w:t>Губернатора Новосибирской области.</w:t>
      </w:r>
    </w:p>
    <w:p w:rsidR="004F591A" w:rsidRDefault="00D4303E">
      <w:pPr>
        <w:ind w:firstLine="720"/>
        <w:contextualSpacing/>
        <w:jc w:val="both"/>
      </w:pPr>
      <w:r>
        <w:t>Обязательный профилактический визит не предусматривает отказ контролируемого лица от его проведения.</w:t>
      </w:r>
    </w:p>
    <w:p w:rsidR="004F591A" w:rsidRDefault="00D4303E">
      <w:pPr>
        <w:ind w:firstLine="720"/>
        <w:contextualSpacing/>
        <w:jc w:val="both"/>
      </w:pPr>
      <w:r>
        <w:t>В рамках обязательного профилактического визита инспектор при необходимости проводит осмотр, истребование необходимых документов, экспертизу.</w:t>
      </w:r>
    </w:p>
    <w:p w:rsidR="004F591A" w:rsidRDefault="00D4303E">
      <w:pPr>
        <w:ind w:firstLine="720"/>
        <w:contextualSpacing/>
        <w:jc w:val="both"/>
      </w:pPr>
      <w:r>
        <w:t>Срок проведения обязательного профилактического визита не может превышать десять рабочих дней и может быть продлен</w:t>
      </w:r>
      <w:r>
        <w:t xml:space="preserve"> на срок, необходимый для проведения экспертизы.</w:t>
      </w:r>
    </w:p>
    <w:p w:rsidR="004F591A" w:rsidRDefault="00D4303E">
      <w:pPr>
        <w:ind w:firstLine="720"/>
        <w:contextualSpacing/>
        <w:jc w:val="both"/>
      </w:pPr>
      <w:r>
        <w:t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</w:t>
      </w:r>
      <w:r>
        <w:t>смотренном статьей 90 Федерального закона № 248-ФЗ для контрольных (надзорных) мероприятий.</w:t>
      </w:r>
    </w:p>
    <w:p w:rsidR="004F591A" w:rsidRDefault="00D4303E">
      <w:pPr>
        <w:ind w:firstLine="720"/>
        <w:contextualSpacing/>
        <w:jc w:val="both"/>
      </w:pPr>
      <w: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</w:t>
      </w:r>
      <w:r>
        <w:t>кона № 248-ФЗ для контрольных (надзорных) мероприятий.</w:t>
      </w:r>
    </w:p>
    <w:p w:rsidR="004F591A" w:rsidRDefault="00D4303E">
      <w:pPr>
        <w:ind w:firstLine="720"/>
        <w:contextualSpacing/>
        <w:jc w:val="both"/>
      </w:pPr>
      <w: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</w:t>
      </w:r>
      <w:r>
        <w:t>рофилактического визита в порядке, предусмотренном частью 10 статьи 65 Федерального закона № 248-ФЗ для контрольных (надзорных) мероприятий.</w:t>
      </w:r>
    </w:p>
    <w:p w:rsidR="004F591A" w:rsidRDefault="00D4303E">
      <w:pPr>
        <w:ind w:firstLine="720"/>
        <w:contextualSpacing/>
        <w:jc w:val="both"/>
      </w:pPr>
      <w:r>
        <w:t>В случае невозможности проведения обязательного профилактического визита уполномоченное должностное лицо Министерст</w:t>
      </w:r>
      <w:r>
        <w:t>ва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4F591A" w:rsidRDefault="00D4303E">
      <w:pPr>
        <w:ind w:firstLine="720"/>
        <w:contextualSpacing/>
        <w:jc w:val="both"/>
      </w:pPr>
      <w:r>
        <w:t>Предписание об устра</w:t>
      </w:r>
      <w:r>
        <w:t>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 248-ФЗ</w:t>
      </w:r>
      <w:r>
        <w:t>.</w:t>
      </w:r>
    </w:p>
    <w:p w:rsidR="004F591A" w:rsidRDefault="00D4303E">
      <w:pPr>
        <w:ind w:firstLine="720"/>
        <w:contextualSpacing/>
        <w:jc w:val="both"/>
      </w:pPr>
      <w:r>
        <w:t xml:space="preserve">21.2. 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муниципальных услуг. Министерство рассматривает заявление в течение десяти рабочих дней </w:t>
      </w:r>
      <w:r>
        <w:t>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4F591A" w:rsidRDefault="00D4303E">
      <w:pPr>
        <w:ind w:firstLine="720"/>
        <w:contextualSpacing/>
        <w:jc w:val="both"/>
      </w:pPr>
      <w:r>
        <w:t>В случае принятия решения о проведении профилактического визита Министерство в течение двадцати рабочих дней согласовывает дату</w:t>
      </w:r>
      <w:r>
        <w:t xml:space="preserve"> его проведения с контролируемым лицом любым способом, обеспечивающим фиксирование такого согласования.</w:t>
      </w:r>
    </w:p>
    <w:p w:rsidR="004F591A" w:rsidRDefault="00D4303E">
      <w:pPr>
        <w:ind w:firstLine="720"/>
        <w:contextualSpacing/>
        <w:jc w:val="both"/>
      </w:pPr>
      <w:r>
        <w:t>Министерство принимает решение об отказе в проведении профилактического визита по заявлению контролируемого лица по основаниям, предусмотренным частью 3</w:t>
      </w:r>
      <w:r>
        <w:t xml:space="preserve"> статьи 52.2 Федерального закона № 248-ФЗ.</w:t>
      </w:r>
    </w:p>
    <w:p w:rsidR="004F591A" w:rsidRDefault="00D4303E">
      <w:pPr>
        <w:ind w:firstLine="720"/>
        <w:contextualSpacing/>
        <w:jc w:val="both"/>
      </w:pPr>
      <w: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4F591A" w:rsidRDefault="00D4303E">
      <w:pPr>
        <w:ind w:firstLine="720"/>
        <w:contextualSpacing/>
        <w:jc w:val="both"/>
        <w:rPr>
          <w:rStyle w:val="afe"/>
          <w:sz w:val="28"/>
          <w:szCs w:val="28"/>
        </w:rPr>
      </w:pPr>
      <w:r>
        <w:t>Контролируемое лицо вправе отозвать заявление либо направит</w:t>
      </w:r>
      <w:r>
        <w:t>ь отказ от проведения профилактического визита, уведомив об этом Министерство не позднее чем за пять рабочих дней до даты его проведения.</w:t>
      </w:r>
    </w:p>
    <w:p w:rsidR="004F591A" w:rsidRDefault="00D4303E">
      <w:pPr>
        <w:ind w:firstLine="720"/>
        <w:contextualSpacing/>
        <w:jc w:val="both"/>
      </w:pPr>
      <w:r>
        <w:t xml:space="preserve">В случае, если при проведении профилактического визита </w:t>
      </w:r>
      <w:r>
        <w:t>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к</w:t>
      </w:r>
      <w:r>
        <w:t>онтрольного (надзорного) органа для принятия решения о проведении контро</w:t>
      </w:r>
      <w:r w:rsidR="00E93786">
        <w:t>льных (надзорных) мероприятий.»</w:t>
      </w:r>
      <w:r w:rsidR="00CF1312">
        <w:t>;</w:t>
      </w:r>
    </w:p>
    <w:p w:rsidR="004F591A" w:rsidRDefault="00CF1312">
      <w:pPr>
        <w:ind w:firstLine="720"/>
        <w:contextualSpacing/>
        <w:jc w:val="both"/>
      </w:pPr>
      <w:r>
        <w:t>6) </w:t>
      </w:r>
      <w:r w:rsidR="00D4303E">
        <w:t>пункт 23 изложить в следующей редакции:</w:t>
      </w:r>
    </w:p>
    <w:p w:rsidR="004F591A" w:rsidRDefault="00D4303E">
      <w:pPr>
        <w:ind w:firstLine="720"/>
        <w:contextualSpacing/>
        <w:jc w:val="both"/>
      </w:pPr>
      <w:r>
        <w:t>«Внеплановые контрольные (надзорные) мероприятия проводятся при наличии оснований, указанных в пунктах 1, 3-</w:t>
      </w:r>
      <w:r>
        <w:t>5, 7, 9 части 1 статьи 57 и статьи 60</w:t>
      </w:r>
      <w:r w:rsidR="00CF1312">
        <w:t xml:space="preserve"> Федерального закона № 248-ФЗ.»;</w:t>
      </w:r>
    </w:p>
    <w:p w:rsidR="004F591A" w:rsidRDefault="00CF1312">
      <w:pPr>
        <w:ind w:firstLine="720"/>
        <w:contextualSpacing/>
        <w:jc w:val="both"/>
      </w:pPr>
      <w:r>
        <w:t>7) </w:t>
      </w:r>
      <w:r w:rsidR="00D4303E">
        <w:t>пункт 28 изложить в следующей редакции:</w:t>
      </w:r>
    </w:p>
    <w:p w:rsidR="004F591A" w:rsidRDefault="00CF1312">
      <w:pPr>
        <w:ind w:firstLine="720"/>
        <w:contextualSpacing/>
        <w:jc w:val="both"/>
      </w:pPr>
      <w:r>
        <w:t>«28. </w:t>
      </w:r>
      <w:r w:rsidR="00D4303E">
        <w:t>Инспекционный визит проводится без предварительного уведомления контролируемого объекта. Внеплановый инспекционный визит может проводиться</w:t>
      </w:r>
      <w:r w:rsidR="00D4303E">
        <w:t xml:space="preserve"> только по согласованию с органами прокуратуры, за исключением случаев его проведения в соответствии с пунктами 3, 4 части 1, частью 3 статьи 57 и частью 12 статьи 66</w:t>
      </w:r>
      <w:r>
        <w:t xml:space="preserve"> Федерального закона № 248-ФЗ.»;</w:t>
      </w:r>
    </w:p>
    <w:p w:rsidR="004F591A" w:rsidRDefault="00FC6FDF">
      <w:pPr>
        <w:ind w:firstLine="720"/>
        <w:contextualSpacing/>
        <w:jc w:val="both"/>
      </w:pPr>
      <w:r>
        <w:t>8) </w:t>
      </w:r>
      <w:r w:rsidR="00D4303E">
        <w:t>пункт 33 изложить в следующей редакции:</w:t>
      </w:r>
    </w:p>
    <w:p w:rsidR="004F591A" w:rsidRDefault="00D4303E">
      <w:pPr>
        <w:ind w:firstLine="720"/>
        <w:contextualSpacing/>
        <w:jc w:val="both"/>
      </w:pPr>
      <w:r>
        <w:t>«Документарная</w:t>
      </w:r>
      <w:r>
        <w:t xml:space="preserve"> проверка проводится в пределах 10 рабочих дней. В указанный срок не включается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</w:t>
      </w:r>
      <w:r>
        <w:t>ения указанных в требовании документов в Министерство, а также период с момента направления контролируемому лицу информации Министерством о выявлении ошибок и (или) противоречий в представленных контролируемым лицом документах либо о несоответствии сведени</w:t>
      </w:r>
      <w:r>
        <w:t xml:space="preserve">й, содержащихся в этих документах, сведениям, содержащимся в имеющихся у Министерства документах и (или) полученным при осуществлении государственного контроля (надзора), и требования представить необходимые </w:t>
      </w:r>
      <w:r>
        <w:rPr>
          <w:color w:val="000000"/>
          <w:highlight w:val="white"/>
        </w:rPr>
        <w:t>письменные объяснения</w:t>
      </w:r>
      <w:r>
        <w:t xml:space="preserve"> форме до момента представл</w:t>
      </w:r>
      <w:r>
        <w:t xml:space="preserve">ения указанных </w:t>
      </w:r>
      <w:r>
        <w:rPr>
          <w:color w:val="000000"/>
          <w:highlight w:val="white"/>
        </w:rPr>
        <w:t>письменных объяснени</w:t>
      </w:r>
      <w:r>
        <w:rPr>
          <w:color w:val="000000"/>
        </w:rPr>
        <w:t xml:space="preserve">й </w:t>
      </w:r>
      <w:r w:rsidR="00FC6FDF">
        <w:t>в Министерство.»;</w:t>
      </w:r>
    </w:p>
    <w:p w:rsidR="004F591A" w:rsidRDefault="00FC6FDF">
      <w:pPr>
        <w:ind w:firstLine="720"/>
        <w:contextualSpacing/>
        <w:jc w:val="both"/>
      </w:pPr>
      <w:r>
        <w:t>9) </w:t>
      </w:r>
      <w:r w:rsidR="00D4303E">
        <w:t>пункт 34 изложить в следующей редакции:</w:t>
      </w:r>
    </w:p>
    <w:p w:rsidR="004F591A" w:rsidRDefault="00FC6FDF">
      <w:pPr>
        <w:ind w:firstLine="720"/>
        <w:contextualSpacing/>
        <w:jc w:val="both"/>
      </w:pPr>
      <w:r>
        <w:t>«34. </w:t>
      </w:r>
      <w:r w:rsidR="00D4303E">
        <w:t xml:space="preserve">Документарная проверка проводится в соответствии со статьей 72 Федерального закона № 248-ФЗ. Внеплановая документарная проверка может проводиться только </w:t>
      </w:r>
      <w:r w:rsidR="00D4303E">
        <w:t>по согласованию с органами прокуратуры, за исключением случая ее проведения в соответствии с пунктами 3, 4 части 1 статьи 57</w:t>
      </w:r>
      <w:r>
        <w:t xml:space="preserve"> Федерального закона № 248-ФЗ.»;</w:t>
      </w:r>
    </w:p>
    <w:p w:rsidR="004F591A" w:rsidRDefault="00FC6FDF">
      <w:pPr>
        <w:ind w:firstLine="720"/>
        <w:contextualSpacing/>
        <w:jc w:val="both"/>
      </w:pPr>
      <w:r>
        <w:t>10) </w:t>
      </w:r>
      <w:r w:rsidR="00D4303E">
        <w:t>пункт 39 изложить в следующей редакции:</w:t>
      </w:r>
    </w:p>
    <w:p w:rsidR="004F591A" w:rsidRDefault="00D4303E">
      <w:pPr>
        <w:ind w:firstLine="720"/>
        <w:contextualSpacing/>
        <w:jc w:val="both"/>
      </w:pPr>
      <w:r>
        <w:t>«39.</w:t>
      </w:r>
      <w:r w:rsidR="00FC6FDF">
        <w:t> </w:t>
      </w:r>
      <w:r>
        <w:t>Внеплановая выездная проверка проводится только по</w:t>
      </w:r>
      <w:r>
        <w:t xml:space="preserve"> согласованию с органами прокуратуры, за исключением случаев ее проведения в соответствии с</w:t>
      </w:r>
      <w:r>
        <w:t xml:space="preserve"> пунктами 3, 4 части 1, частью 3 статьи 57 и частями 12 статьи 66</w:t>
      </w:r>
      <w:r w:rsidR="00FC6FDF">
        <w:t xml:space="preserve"> Федерального закона № 248-ФЗ.»;</w:t>
      </w:r>
    </w:p>
    <w:p w:rsidR="004F591A" w:rsidRDefault="00FC6FDF">
      <w:pPr>
        <w:ind w:firstLine="720"/>
        <w:contextualSpacing/>
        <w:jc w:val="both"/>
      </w:pPr>
      <w:r>
        <w:t>11) </w:t>
      </w:r>
      <w:r w:rsidR="00D4303E">
        <w:rPr>
          <w:lang w:eastAsia="ar-SA"/>
        </w:rPr>
        <w:t>дополнить</w:t>
      </w:r>
      <w:r w:rsidR="00D4303E">
        <w:rPr>
          <w:rFonts w:eastAsia="Calibri"/>
        </w:rPr>
        <w:t xml:space="preserve"> </w:t>
      </w:r>
      <w:r w:rsidR="00D4303E">
        <w:rPr>
          <w:lang w:eastAsia="ar-SA"/>
        </w:rPr>
        <w:t xml:space="preserve">пунктами </w:t>
      </w:r>
      <w:r w:rsidR="00D4303E">
        <w:rPr>
          <w:rFonts w:eastAsia="Calibri"/>
        </w:rPr>
        <w:t>41.1-41.2 следующего содержания</w:t>
      </w:r>
      <w:r w:rsidR="00D4303E">
        <w:t>:</w:t>
      </w:r>
    </w:p>
    <w:p w:rsidR="004F591A" w:rsidRDefault="00FC6FDF">
      <w:pPr>
        <w:ind w:firstLine="720"/>
        <w:contextualSpacing/>
        <w:jc w:val="both"/>
      </w:pPr>
      <w:r>
        <w:t>«41.1. </w:t>
      </w:r>
      <w:r w:rsidR="00D4303E">
        <w:t>Пре</w:t>
      </w:r>
      <w:r w:rsidR="00D4303E">
        <w:t>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профилак</w:t>
      </w:r>
      <w:r w:rsidR="00D4303E">
        <w:t>тического визита.</w:t>
      </w:r>
    </w:p>
    <w:p w:rsidR="004F591A" w:rsidRDefault="00D4303E">
      <w:pPr>
        <w:ind w:firstLine="720"/>
        <w:contextualSpacing/>
        <w:jc w:val="both"/>
      </w:pPr>
      <w:r>
        <w:t>Предписание об устранении выявленных нарушений обязательных требований должно содержать сведения по каждому из нарушений, предусмотренные статьей 90.1 Федерального закона № 248-ФЗ.</w:t>
      </w:r>
    </w:p>
    <w:p w:rsidR="004F591A" w:rsidRDefault="00D4303E">
      <w:pPr>
        <w:ind w:firstLine="720"/>
        <w:contextualSpacing/>
        <w:jc w:val="both"/>
      </w:pPr>
      <w:r>
        <w:t>Министерство может отменить предписание об устранении выя</w:t>
      </w:r>
      <w:r>
        <w:t>вленных нарушений обязательных требований в случаях, установленных Федеральным законом № 248-ФЗ.</w:t>
      </w:r>
    </w:p>
    <w:p w:rsidR="004F591A" w:rsidRDefault="00D4303E">
      <w:pPr>
        <w:ind w:firstLine="720"/>
        <w:contextualSpacing/>
        <w:jc w:val="both"/>
      </w:pPr>
      <w:r>
        <w:t>41.2. С контролируемым лицом, в отношении которого выявлены нарушения обязательных требований, может быть заключено соглашение о надлежащем устранении нарушени</w:t>
      </w:r>
      <w:r>
        <w:t>й обязательных требований в порядке, предусмотренном статьей 90.2</w:t>
      </w:r>
      <w:r w:rsidR="00FC6FDF">
        <w:t xml:space="preserve"> Федерального закона № 248-ФЗ.»;</w:t>
      </w:r>
    </w:p>
    <w:p w:rsidR="004F591A" w:rsidRDefault="00FC6FDF">
      <w:pPr>
        <w:ind w:firstLine="720"/>
        <w:contextualSpacing/>
        <w:jc w:val="both"/>
      </w:pPr>
      <w:r>
        <w:t>12) </w:t>
      </w:r>
      <w:r w:rsidR="00D4303E">
        <w:t>пункт 46 изложить в следующей редакции:</w:t>
      </w:r>
    </w:p>
    <w:p w:rsidR="004F591A" w:rsidRDefault="00D4303E">
      <w:pPr>
        <w:ind w:firstLine="720"/>
        <w:contextualSpacing/>
        <w:jc w:val="both"/>
      </w:pPr>
      <w:r>
        <w:t>«Жалоба подлежит рассмотрению в течение 15 рабочих дней со дня ее регистрации в Министерстве.</w:t>
      </w:r>
    </w:p>
    <w:p w:rsidR="004F591A" w:rsidRDefault="00D4303E">
      <w:pPr>
        <w:ind w:firstLine="720"/>
        <w:contextualSpacing/>
        <w:jc w:val="both"/>
      </w:pPr>
      <w:r>
        <w:t>Жалоба контролируемо</w:t>
      </w:r>
      <w:r>
        <w:t>го лица на решение об отнесении объектов контроля к соответствующей категории риска рассматривается в срок не более 5 рабочих дней со дня ее регистрации в Министерстве.».</w:t>
      </w:r>
    </w:p>
    <w:p w:rsidR="004F591A" w:rsidRDefault="00FC6FDF">
      <w:pPr>
        <w:ind w:firstLine="720"/>
        <w:contextualSpacing/>
        <w:jc w:val="both"/>
      </w:pPr>
      <w:r>
        <w:t>2. </w:t>
      </w:r>
      <w:r w:rsidR="00D4303E">
        <w:t xml:space="preserve">В приложении к Положению </w:t>
      </w:r>
      <w:r w:rsidR="00D4303E">
        <w:rPr>
          <w:rFonts w:eastAsia="Calibri"/>
        </w:rPr>
        <w:t>о региональном государственном контроле (надзоре) за сост</w:t>
      </w:r>
      <w:r w:rsidR="00D4303E">
        <w:rPr>
          <w:rFonts w:eastAsia="Calibri"/>
        </w:rPr>
        <w:t>оянием Музейного фонда Российской Федерации на территории Новосибирской области</w:t>
      </w:r>
      <w:r w:rsidR="00D4303E">
        <w:t>:</w:t>
      </w:r>
    </w:p>
    <w:p w:rsidR="004F591A" w:rsidRDefault="00FC6FDF">
      <w:pPr>
        <w:ind w:firstLine="720"/>
        <w:contextualSpacing/>
        <w:jc w:val="both"/>
      </w:pPr>
      <w:r>
        <w:t>1) </w:t>
      </w:r>
      <w:r w:rsidR="00D4303E">
        <w:t xml:space="preserve">в пункте 1 слова «разделяются на группы тяжести «А», «Б» и «В».» </w:t>
      </w:r>
      <w:r w:rsidR="00D4303E">
        <w:rPr>
          <w:lang w:eastAsia="ar-SA"/>
        </w:rPr>
        <w:t>заменить словами</w:t>
      </w:r>
      <w:r w:rsidR="00D4303E">
        <w:t xml:space="preserve"> «разделяют</w:t>
      </w:r>
      <w:r>
        <w:t>ся на группы тяжести «А», «Б».»;</w:t>
      </w:r>
    </w:p>
    <w:p w:rsidR="004F591A" w:rsidRDefault="00FC6FDF">
      <w:pPr>
        <w:ind w:firstLine="720"/>
        <w:contextualSpacing/>
        <w:jc w:val="both"/>
      </w:pPr>
      <w:r>
        <w:t>2) </w:t>
      </w:r>
      <w:r w:rsidR="00D4303E">
        <w:rPr>
          <w:lang w:eastAsia="ar-SA"/>
        </w:rPr>
        <w:t>дополнить</w:t>
      </w:r>
      <w:r w:rsidR="00D4303E">
        <w:rPr>
          <w:rFonts w:eastAsia="Calibri"/>
        </w:rPr>
        <w:t xml:space="preserve"> </w:t>
      </w:r>
      <w:r w:rsidR="00D4303E">
        <w:rPr>
          <w:lang w:eastAsia="ar-SA"/>
        </w:rPr>
        <w:t xml:space="preserve">пунктами </w:t>
      </w:r>
      <w:r w:rsidR="00D4303E">
        <w:rPr>
          <w:rFonts w:eastAsia="Calibri"/>
        </w:rPr>
        <w:t>3.1–3.2 следующего содержания:</w:t>
      </w:r>
    </w:p>
    <w:p w:rsidR="004F591A" w:rsidRDefault="00D4303E">
      <w:pPr>
        <w:ind w:firstLine="720"/>
        <w:contextualSpacing/>
        <w:jc w:val="both"/>
      </w:pPr>
      <w:r>
        <w:t>«3.1.</w:t>
      </w:r>
      <w:r w:rsidR="00FC6FDF">
        <w:t> </w:t>
      </w:r>
      <w:r>
        <w:t>При соблюдении одного из критериев</w:t>
      </w:r>
      <w:r>
        <w:rPr>
          <w:color w:val="000000"/>
        </w:rPr>
        <w:t xml:space="preserve"> добросовестности</w:t>
      </w:r>
      <w:r>
        <w:rPr>
          <w:color w:val="000000"/>
        </w:rPr>
        <w:t xml:space="preserve"> </w:t>
      </w:r>
      <w:r>
        <w:rPr>
          <w:color w:val="000000"/>
        </w:rPr>
        <w:t>контролируемых лиц, предусм</w:t>
      </w:r>
      <w:r w:rsidR="00FC6FDF">
        <w:rPr>
          <w:color w:val="000000"/>
        </w:rPr>
        <w:t>отренных пунктом 3.2 настоящ</w:t>
      </w:r>
      <w:r w:rsidR="0024289D">
        <w:rPr>
          <w:color w:val="000000"/>
        </w:rPr>
        <w:t>его</w:t>
      </w:r>
      <w:r w:rsidR="00FC6FDF">
        <w:rPr>
          <w:color w:val="000000"/>
        </w:rPr>
        <w:t xml:space="preserve"> </w:t>
      </w:r>
      <w:r w:rsidR="00B43345">
        <w:rPr>
          <w:color w:val="000000"/>
        </w:rPr>
        <w:t>п</w:t>
      </w:r>
      <w:r w:rsidR="0024289D">
        <w:rPr>
          <w:color w:val="000000"/>
        </w:rPr>
        <w:t>риложения</w:t>
      </w:r>
      <w:r>
        <w:rPr>
          <w:color w:val="000000"/>
        </w:rPr>
        <w:t xml:space="preserve">, </w:t>
      </w:r>
      <w:r>
        <w:t xml:space="preserve">деятельность контролируемого лица, относящиеся согласно пункту 2 настоящих </w:t>
      </w:r>
      <w:r w:rsidR="00B43345">
        <w:t>п</w:t>
      </w:r>
      <w:r w:rsidR="0024289D">
        <w:t>риложения</w:t>
      </w:r>
      <w:r>
        <w:t xml:space="preserve"> к группе тяж</w:t>
      </w:r>
      <w:r>
        <w:t>ести «А», подлежит отнесению к группе тяжести «Б».</w:t>
      </w:r>
    </w:p>
    <w:p w:rsidR="00EC6E8B" w:rsidRPr="00EC6E8B" w:rsidRDefault="00FC6FDF" w:rsidP="00EC6E8B">
      <w:pPr>
        <w:ind w:firstLine="720"/>
        <w:contextualSpacing/>
        <w:jc w:val="both"/>
        <w:rPr>
          <w:color w:val="000000"/>
        </w:rPr>
      </w:pPr>
      <w:r>
        <w:t>3.2. </w:t>
      </w:r>
      <w:r w:rsidR="00EC6E8B" w:rsidRPr="00EC6E8B">
        <w:rPr>
          <w:color w:val="000000"/>
        </w:rPr>
        <w:t>При определении критериев риска оценка добросовестности контролируемых лиц проводится с учетом следующих сведений:</w:t>
      </w:r>
    </w:p>
    <w:p w:rsidR="004F591A" w:rsidRDefault="00D4303E">
      <w:pPr>
        <w:ind w:firstLine="720"/>
        <w:contextualSpacing/>
        <w:jc w:val="both"/>
        <w:rPr>
          <w:color w:val="000000"/>
        </w:rPr>
      </w:pPr>
      <w:r>
        <w:rPr>
          <w:color w:val="000000"/>
        </w:rPr>
        <w:t>1) отсутствие нарушений обязательных требований, выявленных по результатам проведени</w:t>
      </w:r>
      <w:r>
        <w:rPr>
          <w:color w:val="000000"/>
        </w:rPr>
        <w:t>я обязательных профилактических визитов или контрольных (надзорных) мероприятий, в течение 3 предшествующих календарных лет;</w:t>
      </w:r>
      <w:bookmarkStart w:id="0" w:name="_GoBack"/>
      <w:bookmarkEnd w:id="0"/>
    </w:p>
    <w:p w:rsidR="004F591A" w:rsidRDefault="00D4303E">
      <w:pPr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2) предоставление контролируемым лицом доступа Министерству к своим информационным ресурсам; </w:t>
      </w:r>
    </w:p>
    <w:p w:rsidR="004F591A" w:rsidRDefault="00D4303E">
      <w:pPr>
        <w:ind w:firstLine="720"/>
        <w:contextualSpacing/>
        <w:jc w:val="both"/>
      </w:pPr>
      <w:r>
        <w:rPr>
          <w:color w:val="000000"/>
        </w:rPr>
        <w:t>3) реализация контролируемым лицом ме</w:t>
      </w:r>
      <w:r>
        <w:rPr>
          <w:color w:val="000000"/>
        </w:rPr>
        <w:t>роприятий по снижению риска причинения вреда (ущерба) и предотвращению вреда (ущерба) охраняемым законом ценностям.</w:t>
      </w:r>
      <w:r>
        <w:t>».</w:t>
      </w:r>
    </w:p>
    <w:p w:rsidR="004F591A" w:rsidRDefault="00FC6FDF">
      <w:pPr>
        <w:ind w:firstLine="720"/>
        <w:contextualSpacing/>
        <w:jc w:val="both"/>
      </w:pPr>
      <w:r>
        <w:t>3. </w:t>
      </w:r>
      <w:r w:rsidR="00D4303E">
        <w:t>Перечень индикаторов риска нарушения обязательных требований при осуществлении регионального государственного контроля (надзора) за сос</w:t>
      </w:r>
      <w:r w:rsidR="00D4303E">
        <w:t xml:space="preserve">тоянием Музейного фонда Российской Федерации на территории Новосибирской области дополнить абзацем следующего содержания: </w:t>
      </w:r>
    </w:p>
    <w:p w:rsidR="004F591A" w:rsidRDefault="00D4303E">
      <w:pPr>
        <w:ind w:firstLine="720"/>
        <w:contextualSpacing/>
        <w:jc w:val="both"/>
      </w:pPr>
      <w:r>
        <w:t xml:space="preserve">«отсутствие в ФГИС «Государственный каталог Музейного фонда Российской Федерации» информации о возврате музейных предметов и музейных коллекций в течение 6 месяцев после окончания срока разрешения на их выдачу, если необходимость внесения таких сведений в </w:t>
      </w:r>
      <w:r>
        <w:t>указанную информационную систему предусмотрена в отношении государственных музеев Новосибирской области.».</w:t>
      </w:r>
    </w:p>
    <w:p w:rsidR="004F591A" w:rsidRDefault="00D4303E">
      <w:pPr>
        <w:ind w:firstLine="720"/>
        <w:contextualSpacing/>
        <w:jc w:val="both"/>
      </w:pPr>
      <w:r>
        <w:t xml:space="preserve">4. Перечень должностных лиц, уполномоченных на осуществление государственного контроля (надзора) за состоянием государственной части Музейного фонда </w:t>
      </w:r>
      <w:r>
        <w:t xml:space="preserve">Российской Федерации в Новосибирской области </w:t>
      </w:r>
      <w:r>
        <w:rPr>
          <w:rFonts w:eastAsia="Calibri"/>
        </w:rPr>
        <w:t xml:space="preserve">изложить в редакции согласно </w:t>
      </w:r>
      <w:proofErr w:type="gramStart"/>
      <w:r>
        <w:rPr>
          <w:rFonts w:eastAsia="Calibri"/>
        </w:rPr>
        <w:t>приложению</w:t>
      </w:r>
      <w:proofErr w:type="gramEnd"/>
      <w:r>
        <w:rPr>
          <w:rFonts w:eastAsia="Calibri"/>
        </w:rPr>
        <w:t xml:space="preserve"> к настоящему постановлению</w:t>
      </w:r>
      <w:r>
        <w:t>.</w:t>
      </w:r>
    </w:p>
    <w:p w:rsidR="004F591A" w:rsidRDefault="004F591A">
      <w:pPr>
        <w:jc w:val="both"/>
      </w:pPr>
    </w:p>
    <w:p w:rsidR="004F591A" w:rsidRDefault="004F591A">
      <w:pPr>
        <w:jc w:val="both"/>
      </w:pPr>
    </w:p>
    <w:p w:rsidR="004F591A" w:rsidRDefault="004F591A">
      <w:pPr>
        <w:jc w:val="both"/>
      </w:pPr>
    </w:p>
    <w:p w:rsidR="004F591A" w:rsidRDefault="00D4303E">
      <w:pPr>
        <w:jc w:val="both"/>
      </w:pPr>
      <w:r>
        <w:t>Губернатор Новосибирской области                                                                     А.А. Травников</w:t>
      </w: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4F591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591A" w:rsidRDefault="00D4303E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.К. </w:t>
      </w:r>
      <w:proofErr w:type="spellStart"/>
      <w:r>
        <w:rPr>
          <w:rFonts w:ascii="Times New Roman" w:hAnsi="Times New Roman"/>
        </w:rPr>
        <w:t>Шуклина</w:t>
      </w:r>
      <w:proofErr w:type="spellEnd"/>
    </w:p>
    <w:p w:rsidR="004F591A" w:rsidRDefault="00D4303E">
      <w:pPr>
        <w:rPr>
          <w:sz w:val="20"/>
          <w:szCs w:val="20"/>
        </w:rPr>
      </w:pPr>
      <w:r>
        <w:rPr>
          <w:rFonts w:cs="Courier New"/>
          <w:sz w:val="20"/>
          <w:szCs w:val="20"/>
        </w:rPr>
        <w:t>238 72 35</w:t>
      </w:r>
    </w:p>
    <w:sectPr w:rsidR="004F591A">
      <w:headerReference w:type="default" r:id="rId8"/>
      <w:pgSz w:w="11907" w:h="16840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03E" w:rsidRDefault="00D4303E">
      <w:r>
        <w:separator/>
      </w:r>
    </w:p>
  </w:endnote>
  <w:endnote w:type="continuationSeparator" w:id="0">
    <w:p w:rsidR="00D4303E" w:rsidRDefault="00D4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03E" w:rsidRDefault="00D4303E">
      <w:r>
        <w:separator/>
      </w:r>
    </w:p>
  </w:footnote>
  <w:footnote w:type="continuationSeparator" w:id="0">
    <w:p w:rsidR="00D4303E" w:rsidRDefault="00D4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91A" w:rsidRDefault="00D4303E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 w:rsidR="00B43345">
      <w:rPr>
        <w:noProof/>
      </w:rPr>
      <w:t>6</w:t>
    </w:r>
    <w:r>
      <w:fldChar w:fldCharType="end"/>
    </w:r>
  </w:p>
  <w:p w:rsidR="004F591A" w:rsidRDefault="004F591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AC9"/>
    <w:multiLevelType w:val="hybridMultilevel"/>
    <w:tmpl w:val="32648B70"/>
    <w:lvl w:ilvl="0" w:tplc="B05C5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B80A1E">
      <w:start w:val="1"/>
      <w:numFmt w:val="lowerLetter"/>
      <w:lvlText w:val="%2."/>
      <w:lvlJc w:val="left"/>
      <w:pPr>
        <w:ind w:left="1789" w:hanging="360"/>
      </w:pPr>
    </w:lvl>
    <w:lvl w:ilvl="2" w:tplc="70AE27B6">
      <w:start w:val="1"/>
      <w:numFmt w:val="lowerRoman"/>
      <w:lvlText w:val="%3."/>
      <w:lvlJc w:val="right"/>
      <w:pPr>
        <w:ind w:left="2509" w:hanging="180"/>
      </w:pPr>
    </w:lvl>
    <w:lvl w:ilvl="3" w:tplc="D50CCE86">
      <w:start w:val="1"/>
      <w:numFmt w:val="decimal"/>
      <w:lvlText w:val="%4."/>
      <w:lvlJc w:val="left"/>
      <w:pPr>
        <w:ind w:left="3229" w:hanging="360"/>
      </w:pPr>
    </w:lvl>
    <w:lvl w:ilvl="4" w:tplc="9EA81530">
      <w:start w:val="1"/>
      <w:numFmt w:val="lowerLetter"/>
      <w:lvlText w:val="%5."/>
      <w:lvlJc w:val="left"/>
      <w:pPr>
        <w:ind w:left="3949" w:hanging="360"/>
      </w:pPr>
    </w:lvl>
    <w:lvl w:ilvl="5" w:tplc="31FE68FA">
      <w:start w:val="1"/>
      <w:numFmt w:val="lowerRoman"/>
      <w:lvlText w:val="%6."/>
      <w:lvlJc w:val="right"/>
      <w:pPr>
        <w:ind w:left="4669" w:hanging="180"/>
      </w:pPr>
    </w:lvl>
    <w:lvl w:ilvl="6" w:tplc="CF84AB58">
      <w:start w:val="1"/>
      <w:numFmt w:val="decimal"/>
      <w:lvlText w:val="%7."/>
      <w:lvlJc w:val="left"/>
      <w:pPr>
        <w:ind w:left="5389" w:hanging="360"/>
      </w:pPr>
    </w:lvl>
    <w:lvl w:ilvl="7" w:tplc="FF7009C6">
      <w:start w:val="1"/>
      <w:numFmt w:val="lowerLetter"/>
      <w:lvlText w:val="%8."/>
      <w:lvlJc w:val="left"/>
      <w:pPr>
        <w:ind w:left="6109" w:hanging="360"/>
      </w:pPr>
    </w:lvl>
    <w:lvl w:ilvl="8" w:tplc="315030D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C45B61"/>
    <w:multiLevelType w:val="hybridMultilevel"/>
    <w:tmpl w:val="B1D48B88"/>
    <w:lvl w:ilvl="0" w:tplc="416C4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F92BAB4">
      <w:start w:val="1"/>
      <w:numFmt w:val="lowerLetter"/>
      <w:lvlText w:val="%2."/>
      <w:lvlJc w:val="left"/>
      <w:pPr>
        <w:ind w:left="1789" w:hanging="360"/>
      </w:pPr>
    </w:lvl>
    <w:lvl w:ilvl="2" w:tplc="3FBC92AE">
      <w:start w:val="1"/>
      <w:numFmt w:val="lowerRoman"/>
      <w:lvlText w:val="%3."/>
      <w:lvlJc w:val="right"/>
      <w:pPr>
        <w:ind w:left="2509" w:hanging="180"/>
      </w:pPr>
    </w:lvl>
    <w:lvl w:ilvl="3" w:tplc="A140B8BC">
      <w:start w:val="1"/>
      <w:numFmt w:val="decimal"/>
      <w:lvlText w:val="%4."/>
      <w:lvlJc w:val="left"/>
      <w:pPr>
        <w:ind w:left="3229" w:hanging="360"/>
      </w:pPr>
    </w:lvl>
    <w:lvl w:ilvl="4" w:tplc="7BA299D8">
      <w:start w:val="1"/>
      <w:numFmt w:val="lowerLetter"/>
      <w:lvlText w:val="%5."/>
      <w:lvlJc w:val="left"/>
      <w:pPr>
        <w:ind w:left="3949" w:hanging="360"/>
      </w:pPr>
    </w:lvl>
    <w:lvl w:ilvl="5" w:tplc="7C6A4CD0">
      <w:start w:val="1"/>
      <w:numFmt w:val="lowerRoman"/>
      <w:lvlText w:val="%6."/>
      <w:lvlJc w:val="right"/>
      <w:pPr>
        <w:ind w:left="4669" w:hanging="180"/>
      </w:pPr>
    </w:lvl>
    <w:lvl w:ilvl="6" w:tplc="4AB0DA7A">
      <w:start w:val="1"/>
      <w:numFmt w:val="decimal"/>
      <w:lvlText w:val="%7."/>
      <w:lvlJc w:val="left"/>
      <w:pPr>
        <w:ind w:left="5389" w:hanging="360"/>
      </w:pPr>
    </w:lvl>
    <w:lvl w:ilvl="7" w:tplc="14F69F34">
      <w:start w:val="1"/>
      <w:numFmt w:val="lowerLetter"/>
      <w:lvlText w:val="%8."/>
      <w:lvlJc w:val="left"/>
      <w:pPr>
        <w:ind w:left="6109" w:hanging="360"/>
      </w:pPr>
    </w:lvl>
    <w:lvl w:ilvl="8" w:tplc="3098AD0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101BAA"/>
    <w:multiLevelType w:val="hybridMultilevel"/>
    <w:tmpl w:val="0090089C"/>
    <w:lvl w:ilvl="0" w:tplc="A9A48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4F6F2D4">
      <w:start w:val="1"/>
      <w:numFmt w:val="lowerLetter"/>
      <w:lvlText w:val="%2."/>
      <w:lvlJc w:val="left"/>
      <w:pPr>
        <w:ind w:left="1789" w:hanging="360"/>
      </w:pPr>
    </w:lvl>
    <w:lvl w:ilvl="2" w:tplc="6126443E">
      <w:start w:val="1"/>
      <w:numFmt w:val="lowerRoman"/>
      <w:lvlText w:val="%3."/>
      <w:lvlJc w:val="right"/>
      <w:pPr>
        <w:ind w:left="2509" w:hanging="180"/>
      </w:pPr>
    </w:lvl>
    <w:lvl w:ilvl="3" w:tplc="5B7C1554">
      <w:start w:val="1"/>
      <w:numFmt w:val="decimal"/>
      <w:lvlText w:val="%4."/>
      <w:lvlJc w:val="left"/>
      <w:pPr>
        <w:ind w:left="3229" w:hanging="360"/>
      </w:pPr>
    </w:lvl>
    <w:lvl w:ilvl="4" w:tplc="AB6E4890">
      <w:start w:val="1"/>
      <w:numFmt w:val="lowerLetter"/>
      <w:lvlText w:val="%5."/>
      <w:lvlJc w:val="left"/>
      <w:pPr>
        <w:ind w:left="3949" w:hanging="360"/>
      </w:pPr>
    </w:lvl>
    <w:lvl w:ilvl="5" w:tplc="505C69AC">
      <w:start w:val="1"/>
      <w:numFmt w:val="lowerRoman"/>
      <w:lvlText w:val="%6."/>
      <w:lvlJc w:val="right"/>
      <w:pPr>
        <w:ind w:left="4669" w:hanging="180"/>
      </w:pPr>
    </w:lvl>
    <w:lvl w:ilvl="6" w:tplc="50DC6768">
      <w:start w:val="1"/>
      <w:numFmt w:val="decimal"/>
      <w:lvlText w:val="%7."/>
      <w:lvlJc w:val="left"/>
      <w:pPr>
        <w:ind w:left="5389" w:hanging="360"/>
      </w:pPr>
    </w:lvl>
    <w:lvl w:ilvl="7" w:tplc="61C8BC5A">
      <w:start w:val="1"/>
      <w:numFmt w:val="lowerLetter"/>
      <w:lvlText w:val="%8."/>
      <w:lvlJc w:val="left"/>
      <w:pPr>
        <w:ind w:left="6109" w:hanging="360"/>
      </w:pPr>
    </w:lvl>
    <w:lvl w:ilvl="8" w:tplc="4A54C552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034FD8"/>
    <w:multiLevelType w:val="hybridMultilevel"/>
    <w:tmpl w:val="905A59C6"/>
    <w:lvl w:ilvl="0" w:tplc="5C303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0544302">
      <w:start w:val="1"/>
      <w:numFmt w:val="lowerLetter"/>
      <w:lvlText w:val="%2."/>
      <w:lvlJc w:val="left"/>
      <w:pPr>
        <w:ind w:left="1789" w:hanging="360"/>
      </w:pPr>
    </w:lvl>
    <w:lvl w:ilvl="2" w:tplc="31226F46">
      <w:start w:val="1"/>
      <w:numFmt w:val="lowerRoman"/>
      <w:lvlText w:val="%3."/>
      <w:lvlJc w:val="right"/>
      <w:pPr>
        <w:ind w:left="2509" w:hanging="180"/>
      </w:pPr>
    </w:lvl>
    <w:lvl w:ilvl="3" w:tplc="481604F4">
      <w:start w:val="1"/>
      <w:numFmt w:val="decimal"/>
      <w:lvlText w:val="%4."/>
      <w:lvlJc w:val="left"/>
      <w:pPr>
        <w:ind w:left="3229" w:hanging="360"/>
      </w:pPr>
    </w:lvl>
    <w:lvl w:ilvl="4" w:tplc="6A1661DC">
      <w:start w:val="1"/>
      <w:numFmt w:val="lowerLetter"/>
      <w:lvlText w:val="%5."/>
      <w:lvlJc w:val="left"/>
      <w:pPr>
        <w:ind w:left="3949" w:hanging="360"/>
      </w:pPr>
    </w:lvl>
    <w:lvl w:ilvl="5" w:tplc="98D0E86E">
      <w:start w:val="1"/>
      <w:numFmt w:val="lowerRoman"/>
      <w:lvlText w:val="%6."/>
      <w:lvlJc w:val="right"/>
      <w:pPr>
        <w:ind w:left="4669" w:hanging="180"/>
      </w:pPr>
    </w:lvl>
    <w:lvl w:ilvl="6" w:tplc="82CC3628">
      <w:start w:val="1"/>
      <w:numFmt w:val="decimal"/>
      <w:lvlText w:val="%7."/>
      <w:lvlJc w:val="left"/>
      <w:pPr>
        <w:ind w:left="5389" w:hanging="360"/>
      </w:pPr>
    </w:lvl>
    <w:lvl w:ilvl="7" w:tplc="11E4A4B4">
      <w:start w:val="1"/>
      <w:numFmt w:val="lowerLetter"/>
      <w:lvlText w:val="%8."/>
      <w:lvlJc w:val="left"/>
      <w:pPr>
        <w:ind w:left="6109" w:hanging="360"/>
      </w:pPr>
    </w:lvl>
    <w:lvl w:ilvl="8" w:tplc="3D94BA2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A43BDF"/>
    <w:multiLevelType w:val="hybridMultilevel"/>
    <w:tmpl w:val="28A8419E"/>
    <w:lvl w:ilvl="0" w:tplc="D11C9A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828E7A">
      <w:start w:val="1"/>
      <w:numFmt w:val="lowerLetter"/>
      <w:lvlText w:val="%2."/>
      <w:lvlJc w:val="left"/>
      <w:pPr>
        <w:ind w:left="1222" w:hanging="360"/>
      </w:pPr>
    </w:lvl>
    <w:lvl w:ilvl="2" w:tplc="4F0260F4">
      <w:start w:val="1"/>
      <w:numFmt w:val="lowerRoman"/>
      <w:lvlText w:val="%3."/>
      <w:lvlJc w:val="right"/>
      <w:pPr>
        <w:ind w:left="1942" w:hanging="180"/>
      </w:pPr>
    </w:lvl>
    <w:lvl w:ilvl="3" w:tplc="EC1225D6">
      <w:start w:val="1"/>
      <w:numFmt w:val="decimal"/>
      <w:lvlText w:val="%4."/>
      <w:lvlJc w:val="left"/>
      <w:pPr>
        <w:ind w:left="2662" w:hanging="360"/>
      </w:pPr>
    </w:lvl>
    <w:lvl w:ilvl="4" w:tplc="DD36DA9E">
      <w:start w:val="1"/>
      <w:numFmt w:val="lowerLetter"/>
      <w:lvlText w:val="%5."/>
      <w:lvlJc w:val="left"/>
      <w:pPr>
        <w:ind w:left="3382" w:hanging="360"/>
      </w:pPr>
    </w:lvl>
    <w:lvl w:ilvl="5" w:tplc="8E7EF240">
      <w:start w:val="1"/>
      <w:numFmt w:val="lowerRoman"/>
      <w:lvlText w:val="%6."/>
      <w:lvlJc w:val="right"/>
      <w:pPr>
        <w:ind w:left="4102" w:hanging="180"/>
      </w:pPr>
    </w:lvl>
    <w:lvl w:ilvl="6" w:tplc="0AA011CA">
      <w:start w:val="1"/>
      <w:numFmt w:val="decimal"/>
      <w:lvlText w:val="%7."/>
      <w:lvlJc w:val="left"/>
      <w:pPr>
        <w:ind w:left="4822" w:hanging="360"/>
      </w:pPr>
    </w:lvl>
    <w:lvl w:ilvl="7" w:tplc="C90A3BD0">
      <w:start w:val="1"/>
      <w:numFmt w:val="lowerLetter"/>
      <w:lvlText w:val="%8."/>
      <w:lvlJc w:val="left"/>
      <w:pPr>
        <w:ind w:left="5542" w:hanging="360"/>
      </w:pPr>
    </w:lvl>
    <w:lvl w:ilvl="8" w:tplc="FF94999A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52102A"/>
    <w:multiLevelType w:val="hybridMultilevel"/>
    <w:tmpl w:val="9A123CFE"/>
    <w:lvl w:ilvl="0" w:tplc="507C0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6967E78">
      <w:start w:val="1"/>
      <w:numFmt w:val="lowerLetter"/>
      <w:lvlText w:val="%2."/>
      <w:lvlJc w:val="left"/>
      <w:pPr>
        <w:ind w:left="1789" w:hanging="360"/>
      </w:pPr>
    </w:lvl>
    <w:lvl w:ilvl="2" w:tplc="275C6446">
      <w:start w:val="1"/>
      <w:numFmt w:val="lowerRoman"/>
      <w:lvlText w:val="%3."/>
      <w:lvlJc w:val="right"/>
      <w:pPr>
        <w:ind w:left="2509" w:hanging="180"/>
      </w:pPr>
    </w:lvl>
    <w:lvl w:ilvl="3" w:tplc="557E3FF6">
      <w:start w:val="1"/>
      <w:numFmt w:val="decimal"/>
      <w:lvlText w:val="%4."/>
      <w:lvlJc w:val="left"/>
      <w:pPr>
        <w:ind w:left="3229" w:hanging="360"/>
      </w:pPr>
    </w:lvl>
    <w:lvl w:ilvl="4" w:tplc="4784E29E">
      <w:start w:val="1"/>
      <w:numFmt w:val="lowerLetter"/>
      <w:lvlText w:val="%5."/>
      <w:lvlJc w:val="left"/>
      <w:pPr>
        <w:ind w:left="3949" w:hanging="360"/>
      </w:pPr>
    </w:lvl>
    <w:lvl w:ilvl="5" w:tplc="4F000B74">
      <w:start w:val="1"/>
      <w:numFmt w:val="lowerRoman"/>
      <w:lvlText w:val="%6."/>
      <w:lvlJc w:val="right"/>
      <w:pPr>
        <w:ind w:left="4669" w:hanging="180"/>
      </w:pPr>
    </w:lvl>
    <w:lvl w:ilvl="6" w:tplc="BE265092">
      <w:start w:val="1"/>
      <w:numFmt w:val="decimal"/>
      <w:lvlText w:val="%7."/>
      <w:lvlJc w:val="left"/>
      <w:pPr>
        <w:ind w:left="5389" w:hanging="360"/>
      </w:pPr>
    </w:lvl>
    <w:lvl w:ilvl="7" w:tplc="8BC227D2">
      <w:start w:val="1"/>
      <w:numFmt w:val="lowerLetter"/>
      <w:lvlText w:val="%8."/>
      <w:lvlJc w:val="left"/>
      <w:pPr>
        <w:ind w:left="6109" w:hanging="360"/>
      </w:pPr>
    </w:lvl>
    <w:lvl w:ilvl="8" w:tplc="FE24543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11759D"/>
    <w:multiLevelType w:val="hybridMultilevel"/>
    <w:tmpl w:val="C75ED914"/>
    <w:lvl w:ilvl="0" w:tplc="6824C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E88DB0">
      <w:start w:val="1"/>
      <w:numFmt w:val="lowerLetter"/>
      <w:lvlText w:val="%2."/>
      <w:lvlJc w:val="left"/>
      <w:pPr>
        <w:ind w:left="1789" w:hanging="360"/>
      </w:pPr>
    </w:lvl>
    <w:lvl w:ilvl="2" w:tplc="10365B3C">
      <w:start w:val="1"/>
      <w:numFmt w:val="lowerRoman"/>
      <w:lvlText w:val="%3."/>
      <w:lvlJc w:val="right"/>
      <w:pPr>
        <w:ind w:left="2509" w:hanging="180"/>
      </w:pPr>
    </w:lvl>
    <w:lvl w:ilvl="3" w:tplc="84308DF0">
      <w:start w:val="1"/>
      <w:numFmt w:val="decimal"/>
      <w:lvlText w:val="%4."/>
      <w:lvlJc w:val="left"/>
      <w:pPr>
        <w:ind w:left="3229" w:hanging="360"/>
      </w:pPr>
    </w:lvl>
    <w:lvl w:ilvl="4" w:tplc="B00670A6">
      <w:start w:val="1"/>
      <w:numFmt w:val="lowerLetter"/>
      <w:lvlText w:val="%5."/>
      <w:lvlJc w:val="left"/>
      <w:pPr>
        <w:ind w:left="3949" w:hanging="360"/>
      </w:pPr>
    </w:lvl>
    <w:lvl w:ilvl="5" w:tplc="02B8C78A">
      <w:start w:val="1"/>
      <w:numFmt w:val="lowerRoman"/>
      <w:lvlText w:val="%6."/>
      <w:lvlJc w:val="right"/>
      <w:pPr>
        <w:ind w:left="4669" w:hanging="180"/>
      </w:pPr>
    </w:lvl>
    <w:lvl w:ilvl="6" w:tplc="A324202A">
      <w:start w:val="1"/>
      <w:numFmt w:val="decimal"/>
      <w:lvlText w:val="%7."/>
      <w:lvlJc w:val="left"/>
      <w:pPr>
        <w:ind w:left="5389" w:hanging="360"/>
      </w:pPr>
    </w:lvl>
    <w:lvl w:ilvl="7" w:tplc="674EA062">
      <w:start w:val="1"/>
      <w:numFmt w:val="lowerLetter"/>
      <w:lvlText w:val="%8."/>
      <w:lvlJc w:val="left"/>
      <w:pPr>
        <w:ind w:left="6109" w:hanging="360"/>
      </w:pPr>
    </w:lvl>
    <w:lvl w:ilvl="8" w:tplc="527CAE4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1A"/>
    <w:rsid w:val="001E2D59"/>
    <w:rsid w:val="0024289D"/>
    <w:rsid w:val="004F591A"/>
    <w:rsid w:val="004F683F"/>
    <w:rsid w:val="00B43345"/>
    <w:rsid w:val="00BD35E9"/>
    <w:rsid w:val="00CF1312"/>
    <w:rsid w:val="00D4303E"/>
    <w:rsid w:val="00E93786"/>
    <w:rsid w:val="00EC6E8B"/>
    <w:rsid w:val="00F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86736-001C-4999-A5F7-4BF98FD5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ody Text"/>
    <w:basedOn w:val="a"/>
    <w:link w:val="af6"/>
    <w:uiPriority w:val="99"/>
    <w:pPr>
      <w:jc w:val="both"/>
    </w:pPr>
  </w:style>
  <w:style w:type="character" w:customStyle="1" w:styleId="af6">
    <w:name w:val="Основной текст Знак"/>
    <w:basedOn w:val="a0"/>
    <w:link w:val="af5"/>
    <w:uiPriority w:val="99"/>
    <w:rPr>
      <w:rFonts w:eastAsia="Times New Roman" w:cs="Times New Roman"/>
      <w:szCs w:val="28"/>
      <w:lang w:eastAsia="ru-RU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eastAsia="Times New Roman" w:cs="Times New Roman"/>
      <w:szCs w:val="28"/>
      <w:lang w:eastAsia="ru-RU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eastAsia="Times New Roman" w:cs="Times New Roman"/>
      <w:szCs w:val="28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sz w:val="24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eastAsia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80EF-BA5A-48BE-8838-4DD25AEA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Ксения Антоновна</dc:creator>
  <cp:keywords/>
  <dc:description/>
  <cp:lastModifiedBy>Вострикова Татьяна Владимировна</cp:lastModifiedBy>
  <cp:revision>10</cp:revision>
  <dcterms:created xsi:type="dcterms:W3CDTF">2025-03-06T07:31:00Z</dcterms:created>
  <dcterms:modified xsi:type="dcterms:W3CDTF">2025-03-06T07:50:00Z</dcterms:modified>
</cp:coreProperties>
</file>