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ПРИЛОЖЕНИ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«ПРИЛОЖЕНИЕ № 17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 государственной программе Новосибирской области «Культура Новосибирской области»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left="5103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ПОРЯДОК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предоставления и распределения из областного бюджета Новосибирской области местным бюджетам субсидий на реализацию мероприятий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государственной программы Новосибирской области «Культура Новосибирской области»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по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 развитию сети учреждений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 xml:space="preserve">культурно-досугового типа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</w:p>
    <w:p>
      <w:pPr>
        <w:pStyle w:val="876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ind w:firstLine="0"/>
        <w:jc w:val="center"/>
        <w:rPr>
          <w:rFonts w:cs="Times New Roman"/>
          <w:b/>
          <w:color w:val="auto"/>
          <w:highlight w:val="none"/>
        </w:rPr>
      </w:pPr>
      <w:r>
        <w:rPr>
          <w:rFonts w:cs="Times New Roman"/>
          <w:b/>
          <w:color w:val="auto"/>
          <w:highlight w:val="none"/>
          <w:lang w:val="ru-RU"/>
        </w:rPr>
        <w:t xml:space="preserve">I</w:t>
      </w:r>
      <w:r>
        <w:rPr>
          <w:rFonts w:cs="Times New Roman"/>
          <w:b/>
          <w:color w:val="auto"/>
          <w:highlight w:val="none"/>
          <w:lang w:val="ru-RU"/>
        </w:rPr>
        <w:t xml:space="preserve">.</w:t>
      </w:r>
      <w:r>
        <w:rPr>
          <w:rFonts w:cs="Times New Roman"/>
          <w:b/>
          <w:color w:val="auto"/>
          <w:highlight w:val="none"/>
          <w:lang w:val="ru-RU"/>
        </w:rPr>
        <w:t xml:space="preserve"> </w:t>
      </w:r>
      <w:r>
        <w:rPr>
          <w:rFonts w:cs="Times New Roman"/>
          <w:b/>
          <w:color w:val="auto"/>
          <w:highlight w:val="none"/>
          <w:lang w:val="ru-RU"/>
        </w:rPr>
        <w:t xml:space="preserve">Общие положения</w:t>
      </w: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</w:rPr>
      </w:r>
    </w:p>
    <w:p>
      <w:pPr>
        <w:pStyle w:val="876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1. Настоящий порядок </w:t>
      </w:r>
      <w:r>
        <w:rPr>
          <w:rStyle w:val="887"/>
          <w:rFonts w:cs="Times New Roman"/>
          <w:color w:val="auto"/>
          <w:highlight w:val="none"/>
          <w:lang w:val="ru-RU"/>
        </w:rPr>
        <w:t xml:space="preserve">разработан в соответствии </w:t>
      </w:r>
      <w:r>
        <w:rPr>
          <w:rFonts w:cs="Times New Roman"/>
          <w:color w:val="auto"/>
          <w:highlight w:val="none"/>
          <w:lang w:val="ru-RU"/>
        </w:rPr>
        <w:t xml:space="preserve">со статьей 139 Бюджетного кодекса Российской Федерации, постановлением Правительства Новосибирской области от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03.03.2020 №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40-п «О Правилах формирования, предоставления и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распределения субсидий из областного бюджета Новосибирской области бюджетам муниципальных образо</w:t>
      </w:r>
      <w:r>
        <w:rPr>
          <w:rFonts w:cs="Times New Roman"/>
          <w:color w:val="auto"/>
          <w:highlight w:val="none"/>
          <w:lang w:val="ru-RU"/>
        </w:rPr>
        <w:t xml:space="preserve">ваний Новосибирской области» </w:t>
      </w:r>
      <w:r>
        <w:rPr>
          <w:rFonts w:cs="Times New Roman"/>
          <w:color w:val="auto"/>
          <w:highlight w:val="none"/>
          <w:lang w:val="ru-RU"/>
        </w:rPr>
        <w:t xml:space="preserve">(далее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 Правила) и определяет проц</w:t>
      </w:r>
      <w:r>
        <w:rPr>
          <w:rFonts w:cs="Times New Roman"/>
          <w:color w:val="auto"/>
          <w:highlight w:val="none"/>
          <w:lang w:val="ru-RU"/>
        </w:rPr>
        <w:t xml:space="preserve">едуру предоставления и распределения из областного </w:t>
      </w:r>
      <w:r>
        <w:rPr>
          <w:rFonts w:cs="Times New Roman"/>
          <w:color w:val="auto"/>
          <w:highlight w:val="none"/>
          <w:lang w:val="ru-RU"/>
        </w:rPr>
        <w:t xml:space="preserve">бюдже</w:t>
      </w:r>
      <w:r>
        <w:rPr>
          <w:rFonts w:cs="Times New Roman"/>
          <w:color w:val="auto"/>
          <w:highlight w:val="none"/>
          <w:lang w:val="ru-RU"/>
        </w:rPr>
        <w:t xml:space="preserve">та Новосибирской области (далее – </w:t>
      </w:r>
      <w:r>
        <w:rPr>
          <w:rFonts w:cs="Times New Roman"/>
          <w:color w:val="auto"/>
          <w:highlight w:val="none"/>
          <w:lang w:val="ru-RU"/>
        </w:rPr>
        <w:t xml:space="preserve">областной бюджет) м</w:t>
      </w:r>
      <w:r>
        <w:rPr>
          <w:rFonts w:cs="Times New Roman"/>
          <w:color w:val="auto"/>
          <w:highlight w:val="none"/>
          <w:lang w:val="ru-RU"/>
        </w:rPr>
        <w:t xml:space="preserve">естным бюджетам муниципальных районов</w:t>
      </w:r>
      <w:r>
        <w:rPr>
          <w:rFonts w:cs="Times New Roman"/>
          <w:color w:val="auto"/>
          <w:highlight w:val="none"/>
          <w:lang w:val="ru-RU"/>
        </w:rPr>
        <w:t xml:space="preserve">,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муниципальных </w:t>
      </w:r>
      <w:r>
        <w:rPr>
          <w:rFonts w:cs="Times New Roman"/>
          <w:color w:val="auto"/>
          <w:highlight w:val="none"/>
          <w:lang w:val="ru-RU"/>
        </w:rPr>
        <w:t xml:space="preserve">и городских округов Но</w:t>
      </w:r>
      <w:r>
        <w:rPr>
          <w:rFonts w:cs="Times New Roman"/>
          <w:color w:val="auto"/>
          <w:highlight w:val="none"/>
          <w:lang w:val="ru-RU"/>
        </w:rPr>
        <w:t xml:space="preserve">восибирской области (далее</w:t>
      </w:r>
      <w:r>
        <w:rPr>
          <w:rStyle w:val="712"/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Style w:val="887"/>
          <w:rFonts w:cs="Times New Roman"/>
          <w:color w:val="auto"/>
          <w:highlight w:val="none"/>
          <w:lang w:val="ru-RU"/>
        </w:rPr>
        <w:t xml:space="preserve">соответственно</w:t>
      </w:r>
      <w:r>
        <w:rPr>
          <w:rFonts w:cs="Times New Roman"/>
          <w:color w:val="auto"/>
          <w:highlight w:val="none"/>
          <w:lang w:val="ru-RU"/>
        </w:rPr>
        <w:t xml:space="preserve"> – </w:t>
      </w:r>
      <w:r>
        <w:rPr>
          <w:rFonts w:cs="Times New Roman"/>
          <w:color w:val="auto"/>
          <w:highlight w:val="none"/>
          <w:lang w:val="ru-RU"/>
        </w:rPr>
        <w:t xml:space="preserve">местные бюджеты, муниципальные образова</w:t>
      </w:r>
      <w:r>
        <w:rPr>
          <w:rFonts w:cs="Times New Roman"/>
          <w:color w:val="auto"/>
          <w:highlight w:val="none"/>
          <w:lang w:val="ru-RU"/>
        </w:rPr>
        <w:t xml:space="preserve">ния) субсидий, в том числе источником финансового обеспечения которых являются субсидии из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федерального бюджета, на реализацию мероприятий государственной программы Новосибирской области «Культура Новосибирской области» (далее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 государственная программа) </w:t>
      </w:r>
      <w:r>
        <w:rPr>
          <w:rFonts w:cs="Times New Roman"/>
          <w:color w:val="auto"/>
          <w:highlight w:val="none"/>
          <w:lang w:val="ru-RU"/>
        </w:rPr>
        <w:t xml:space="preserve">по </w:t>
      </w:r>
      <w:r>
        <w:rPr>
          <w:rFonts w:cs="Times New Roman"/>
          <w:color w:val="auto"/>
          <w:highlight w:val="none"/>
          <w:lang w:val="ru-RU"/>
        </w:rPr>
        <w:t xml:space="preserve">развитию сети учреждений культурно-досугового типа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(далее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 </w:t>
      </w:r>
      <w:r>
        <w:rPr>
          <w:rFonts w:cs="Times New Roman"/>
          <w:color w:val="auto"/>
          <w:highlight w:val="none"/>
          <w:lang w:val="ru-RU"/>
        </w:rPr>
        <w:t xml:space="preserve">субсидии).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2</w:t>
      </w:r>
      <w:r>
        <w:rPr>
          <w:rFonts w:cs="Times New Roman"/>
          <w:color w:val="auto"/>
          <w:highlight w:val="none"/>
          <w:lang w:val="ru-RU"/>
        </w:rPr>
        <w:t xml:space="preserve">. Целью предоставления субсидий является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софинансирование</w:t>
      </w:r>
      <w:r>
        <w:rPr>
          <w:rFonts w:cs="Times New Roman"/>
          <w:color w:val="auto"/>
          <w:highlight w:val="none"/>
          <w:lang w:val="ru-RU"/>
        </w:rPr>
        <w:t xml:space="preserve"> затрат местных бюджетов на п</w:t>
      </w:r>
      <w:r>
        <w:rPr>
          <w:rFonts w:cs="Times New Roman"/>
          <w:color w:val="auto"/>
          <w:highlight w:val="none"/>
          <w:lang w:val="ru-RU"/>
        </w:rPr>
        <w:t xml:space="preserve">роведение </w:t>
      </w:r>
      <w:r>
        <w:rPr>
          <w:rFonts w:cs="Times New Roman"/>
          <w:color w:val="auto"/>
          <w:highlight w:val="none"/>
          <w:lang w:val="ru-RU"/>
        </w:rPr>
        <w:t xml:space="preserve">капитального ремонта учреждений культурно-досугового типа в населенных пунктах с численностью до 500 тысяч челове</w:t>
      </w:r>
      <w:r>
        <w:rPr>
          <w:rFonts w:cs="Times New Roman"/>
          <w:color w:val="auto"/>
          <w:highlight w:val="none"/>
          <w:lang w:val="ru-RU"/>
        </w:rPr>
        <w:t xml:space="preserve">к</w:t>
      </w:r>
      <w:r>
        <w:rPr>
          <w:rFonts w:cs="Times New Roman"/>
          <w:color w:val="auto"/>
          <w:highlight w:val="none"/>
          <w:lang w:val="ru-RU"/>
        </w:rPr>
        <w:t xml:space="preserve">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Субсидии не п</w:t>
      </w:r>
      <w:r>
        <w:rPr>
          <w:rFonts w:cs="Times New Roman"/>
          <w:color w:val="auto"/>
          <w:highlight w:val="none"/>
          <w:lang w:val="ru-RU"/>
        </w:rPr>
        <w:t xml:space="preserve">редоставляются в целях софинансирования расходных обязательств муниципальных образований, возникающих при реализации мероприятий по благоустройству территорий, по подключению к инженерным сетям, а также по разработке и корректировке проектной документации.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3. Субсидии предоставляются в соответствии с предусмотренными законом об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областном бюджете бюджетными ассигнованиями в пределах</w:t>
      </w:r>
      <w:r>
        <w:rPr>
          <w:rFonts w:cs="Times New Roman"/>
          <w:color w:val="auto"/>
          <w:highlight w:val="none"/>
          <w:lang w:val="ru-RU"/>
        </w:rPr>
        <w:t xml:space="preserve"> лимитов </w:t>
      </w:r>
      <w:r>
        <w:rPr>
          <w:rFonts w:cs="Times New Roman"/>
          <w:color w:val="auto"/>
          <w:highlight w:val="none"/>
          <w:lang w:val="ru-RU"/>
        </w:rPr>
        <w:t xml:space="preserve">бюджетных обязательств</w:t>
      </w:r>
      <w:r>
        <w:rPr>
          <w:rFonts w:cs="Times New Roman"/>
          <w:color w:val="auto"/>
          <w:highlight w:val="none"/>
          <w:lang w:val="ru-RU"/>
        </w:rPr>
        <w:t xml:space="preserve">, утвержденных министерству культу</w:t>
      </w:r>
      <w:r>
        <w:rPr>
          <w:rFonts w:cs="Times New Roman"/>
          <w:color w:val="auto"/>
          <w:highlight w:val="none"/>
          <w:lang w:val="ru-RU"/>
        </w:rPr>
        <w:t xml:space="preserve">ры Новосибирской области (далее – </w:t>
      </w:r>
      <w:r>
        <w:rPr>
          <w:rFonts w:cs="Times New Roman"/>
          <w:color w:val="auto"/>
          <w:highlight w:val="none"/>
          <w:lang w:val="ru-RU"/>
        </w:rPr>
        <w:t xml:space="preserve">Министерство), в том числе источником финансового обеспечения которых являются субсидии из федерального бюджета</w:t>
      </w:r>
      <w:r>
        <w:rPr>
          <w:rFonts w:cs="Times New Roman"/>
          <w:color w:val="auto"/>
          <w:highlight w:val="none"/>
          <w:lang w:val="ru-RU"/>
        </w:rPr>
        <w:t xml:space="preserve">,</w:t>
      </w:r>
      <w:r>
        <w:rPr>
          <w:rFonts w:cs="Times New Roman"/>
          <w:color w:val="auto"/>
          <w:highlight w:val="none"/>
          <w:lang w:val="ru-RU"/>
        </w:rPr>
        <w:t xml:space="preserve"> на цель, указ</w:t>
      </w:r>
      <w:r>
        <w:rPr>
          <w:rFonts w:cs="Times New Roman"/>
          <w:color w:val="auto"/>
          <w:highlight w:val="none"/>
          <w:lang w:val="ru-RU"/>
        </w:rPr>
        <w:t xml:space="preserve">анную в пункте </w:t>
      </w:r>
      <w:r>
        <w:rPr>
          <w:rFonts w:cs="Times New Roman"/>
          <w:color w:val="auto"/>
          <w:highlight w:val="none"/>
          <w:lang w:val="ru-RU"/>
        </w:rPr>
        <w:t xml:space="preserve">2</w:t>
      </w:r>
      <w:r>
        <w:rPr>
          <w:rFonts w:cs="Times New Roman"/>
          <w:color w:val="auto"/>
          <w:highlight w:val="none"/>
          <w:lang w:val="ru-RU"/>
        </w:rPr>
        <w:t xml:space="preserve"> настоящего порядка.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ind w:firstLine="0"/>
        <w:jc w:val="center"/>
        <w:widowControl w:val="off"/>
        <w:rPr>
          <w:rFonts w:cs="Times New Roman"/>
          <w:b/>
          <w:color w:val="auto"/>
          <w:highlight w:val="none"/>
        </w:rPr>
      </w:pPr>
      <w:r>
        <w:rPr>
          <w:rFonts w:cs="Times New Roman"/>
          <w:b/>
          <w:color w:val="auto"/>
          <w:highlight w:val="none"/>
          <w:lang w:val="ru-RU"/>
        </w:rPr>
        <w:t xml:space="preserve">II</w:t>
      </w:r>
      <w:r>
        <w:rPr>
          <w:rFonts w:cs="Times New Roman"/>
          <w:b/>
          <w:color w:val="auto"/>
          <w:highlight w:val="none"/>
          <w:lang w:val="ru-RU"/>
        </w:rPr>
        <w:t xml:space="preserve">.</w:t>
      </w:r>
      <w:r>
        <w:rPr>
          <w:rFonts w:cs="Times New Roman"/>
          <w:b/>
          <w:color w:val="auto"/>
          <w:highlight w:val="none"/>
          <w:lang w:val="ru-RU"/>
        </w:rPr>
        <w:t xml:space="preserve"> </w:t>
      </w:r>
      <w:r>
        <w:rPr>
          <w:rFonts w:cs="Times New Roman"/>
          <w:b/>
          <w:color w:val="auto"/>
          <w:highlight w:val="none"/>
          <w:lang w:val="ru-RU"/>
        </w:rPr>
        <w:t xml:space="preserve">Условия предоставления субсидий</w:t>
      </w: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4</w:t>
      </w:r>
      <w:r>
        <w:rPr>
          <w:rFonts w:cs="Times New Roman"/>
          <w:color w:val="auto"/>
          <w:highlight w:val="none"/>
          <w:lang w:val="ru-RU"/>
        </w:rPr>
        <w:t xml:space="preserve">. Субсидии предоставляются </w:t>
      </w:r>
      <w:r>
        <w:rPr>
          <w:rStyle w:val="887"/>
          <w:rFonts w:cs="Times New Roman"/>
          <w:color w:val="auto"/>
          <w:highlight w:val="none"/>
          <w:lang w:val="ru-RU"/>
        </w:rPr>
        <w:t xml:space="preserve">на следующих условиях:</w:t>
      </w:r>
      <w:bookmarkStart w:id="0" w:name="_GoBack"/>
      <w:r>
        <w:rPr>
          <w:color w:val="auto"/>
          <w:highlight w:val="none"/>
          <w:lang w:val="ru-RU"/>
        </w:rPr>
      </w:r>
      <w:bookmarkEnd w:id="0"/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1) 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нормативными правовыми актами, регулирующими бюджетные правоотношения (в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случае если указанные расходные обязательства </w:t>
      </w:r>
      <w:r>
        <w:rPr>
          <w:rFonts w:cs="Times New Roman"/>
          <w:color w:val="auto"/>
          <w:highlight w:val="none"/>
          <w:lang w:val="ru-RU"/>
        </w:rPr>
        <w:t xml:space="preserve">софинансируются</w:t>
      </w:r>
      <w:r>
        <w:rPr>
          <w:rFonts w:cs="Times New Roman"/>
          <w:color w:val="auto"/>
          <w:highlight w:val="none"/>
          <w:lang w:val="ru-RU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поселения), субсидий юридическим лицам (за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2) </w:t>
      </w:r>
      <w:r>
        <w:rPr>
          <w:color w:val="auto"/>
          <w:sz w:val="28"/>
          <w:szCs w:val="28"/>
          <w:highlight w:val="none"/>
          <w:lang w:val="ru-RU"/>
        </w:rPr>
        <w:t xml:space="preserve">з</w:t>
      </w:r>
      <w:r>
        <w:rPr>
          <w:color w:val="auto"/>
          <w:sz w:val="28"/>
          <w:szCs w:val="28"/>
          <w:highlight w:val="none"/>
          <w:lang w:val="ru-RU"/>
        </w:rPr>
        <w:t xml:space="preserve">аключение</w:t>
      </w:r>
      <w:r>
        <w:rPr>
          <w:color w:val="auto"/>
          <w:sz w:val="28"/>
          <w:szCs w:val="28"/>
          <w:highlight w:val="none"/>
          <w:lang w:val="ru-RU"/>
        </w:rPr>
        <w:t xml:space="preserve"> в </w:t>
      </w:r>
      <w:r>
        <w:rPr>
          <w:color w:val="auto"/>
          <w:sz w:val="28"/>
          <w:szCs w:val="28"/>
          <w:highlight w:val="none"/>
          <w:lang w:val="ru-RU"/>
        </w:rPr>
        <w:t xml:space="preserve">форме электронного документа с использованием</w:t>
      </w:r>
      <w:r>
        <w:rPr>
          <w:color w:val="auto"/>
          <w:sz w:val="28"/>
          <w:szCs w:val="28"/>
          <w:highlight w:val="none"/>
          <w:lang w:val="ru-RU"/>
        </w:rPr>
        <w:t xml:space="preserve"> государственной интегрированной информационной системы уп</w:t>
      </w:r>
      <w:r>
        <w:rPr>
          <w:color w:val="auto"/>
          <w:sz w:val="28"/>
          <w:szCs w:val="28"/>
          <w:highlight w:val="none"/>
          <w:lang w:val="ru-RU"/>
        </w:rPr>
        <w:t xml:space="preserve">равления общественными финансами «Электронный бюджет» (далее – ГИИС «Электронный бюджет»)</w:t>
      </w:r>
      <w:r>
        <w:rPr>
          <w:color w:val="auto"/>
          <w:sz w:val="28"/>
          <w:szCs w:val="28"/>
          <w:highlight w:val="none"/>
          <w:lang w:val="ru-RU"/>
        </w:rPr>
        <w:t xml:space="preserve">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rPr>
          <w:color w:val="auto"/>
          <w:sz w:val="28"/>
          <w:szCs w:val="28"/>
          <w:highlight w:val="none"/>
          <w:lang w:val="ru-RU"/>
        </w:rPr>
        <w:t xml:space="preserve">о</w:t>
      </w:r>
      <w:r>
        <w:rPr>
          <w:color w:val="auto"/>
          <w:sz w:val="28"/>
          <w:szCs w:val="28"/>
          <w:highlight w:val="none"/>
          <w:lang w:val="ru-RU"/>
        </w:rPr>
        <w:t xml:space="preserve">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</w:t>
      </w:r>
      <w:r>
        <w:rPr>
          <w:color w:val="auto"/>
          <w:sz w:val="28"/>
          <w:szCs w:val="28"/>
          <w:highlight w:val="none"/>
          <w:lang w:val="ru-RU"/>
        </w:rPr>
        <w:t xml:space="preserve">Н</w:t>
      </w:r>
      <w:r>
        <w:rPr>
          <w:color w:val="auto"/>
          <w:sz w:val="28"/>
          <w:szCs w:val="28"/>
          <w:highlight w:val="none"/>
          <w:lang w:val="ru-RU"/>
        </w:rPr>
        <w:t xml:space="preserve">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 В случае заключения между Министерством и муниципальным образованием соглашения о п</w:t>
      </w:r>
      <w:r>
        <w:rPr>
          <w:color w:val="auto"/>
          <w:sz w:val="28"/>
          <w:szCs w:val="28"/>
          <w:highlight w:val="none"/>
          <w:lang w:val="ru-RU"/>
        </w:rPr>
        <w:t xml:space="preserve">р</w:t>
      </w:r>
      <w:r>
        <w:rPr>
          <w:color w:val="auto"/>
          <w:sz w:val="28"/>
          <w:szCs w:val="28"/>
          <w:highlight w:val="none"/>
          <w:lang w:val="ru-RU"/>
        </w:rPr>
        <w:t xml:space="preserve">едоставлении субсидии, предусматривающего обязательства муниципального образования по исполнению расходных обязательств, софинансирование которых полностью либо частично обеспечивается за счет целевых межбюджетных трансфертов, предоставляемых из федерально</w:t>
      </w:r>
      <w:r>
        <w:rPr>
          <w:color w:val="auto"/>
          <w:sz w:val="28"/>
          <w:szCs w:val="28"/>
          <w:highlight w:val="none"/>
          <w:lang w:val="ru-RU"/>
        </w:rPr>
        <w:t xml:space="preserve">го бюджета областному бюджету, соглашение заключается на основе типовой формы соглашения, утвержденной приказом Министерства финансов Российской</w:t>
      </w:r>
      <w:r>
        <w:rPr>
          <w:color w:val="auto"/>
          <w:sz w:val="28"/>
          <w:szCs w:val="28"/>
          <w:highlight w:val="none"/>
          <w:lang w:val="ru-RU"/>
        </w:rPr>
        <w:t xml:space="preserve">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i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3) централизация закупок товаров, работ, услуг, финансовое обеспечение которых частично или полностью осуществляется за счет предоставленной субсидии</w:t>
      </w:r>
      <w:r>
        <w:rPr>
          <w:rFonts w:cs="Times New Roman"/>
          <w:color w:val="auto"/>
          <w:highlight w:val="none"/>
          <w:lang w:val="ru-RU"/>
        </w:rPr>
        <w:t xml:space="preserve">,</w:t>
      </w:r>
      <w:r>
        <w:rPr>
          <w:rFonts w:cs="Times New Roman"/>
          <w:color w:val="auto"/>
          <w:highlight w:val="none"/>
          <w:lang w:val="ru-RU"/>
        </w:rPr>
        <w:t xml:space="preserve"> в соответствии с пунктом 1 и подпунктом 2 пункта 4 постановления Правительства Новосибирской области от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30.12.2013 №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597-п «О наделении полномочиями государственного казенного учреждения Новосибирской области </w:t>
      </w:r>
      <w:r>
        <w:rPr>
          <w:rFonts w:cs="Times New Roman"/>
          <w:color w:val="auto"/>
          <w:highlight w:val="none"/>
          <w:lang w:val="ru-RU"/>
        </w:rPr>
        <w:t xml:space="preserve">«Управление контрактной системы»;</w:t>
      </w:r>
      <w:r>
        <w:rPr>
          <w:rFonts w:cs="Times New Roman"/>
          <w:i/>
          <w:color w:val="auto"/>
          <w:highlight w:val="none"/>
          <w:lang w:val="ru-RU"/>
        </w:rPr>
      </w:r>
      <w:r>
        <w:rPr>
          <w:rFonts w:cs="Times New Roman"/>
          <w:i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4) наличие муниципальных контрактов на реализацию мероприятий государственной программы по направлениям, указанным в пункте </w:t>
      </w:r>
      <w:r>
        <w:rPr>
          <w:rFonts w:cs="Times New Roman"/>
          <w:color w:val="auto"/>
          <w:highlight w:val="none"/>
          <w:lang w:val="ru-RU"/>
        </w:rPr>
        <w:t xml:space="preserve">2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настоящего порядка;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5) 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централизации закупок товаров, работ, услуг, финансовое обеспечение которых частично или полностью осуществляется за счет предоставленной субсидии, в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соответствии с пунктом 1 и подпунктом 2 пункта 4 постановления Правительства Новосибирской области от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30.12.2013 №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6) наличие правовых актов муниципального образования, утверждающих перечень мероприятий, в целях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которых предоставляется субсидия;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7) включение в соглашения о предоставлении субсидий юридическим лицам (за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исключением субсидий муниципальным учреждениям), индивидуальным предпринимат</w:t>
      </w:r>
      <w:r>
        <w:rPr>
          <w:rFonts w:cs="Times New Roman"/>
          <w:color w:val="auto"/>
          <w:highlight w:val="none"/>
          <w:lang w:val="ru-RU"/>
        </w:rPr>
        <w:t xml:space="preserve">елям, а также физическим лицам –</w:t>
      </w:r>
      <w:r>
        <w:rPr>
          <w:rFonts w:cs="Times New Roman"/>
          <w:color w:val="auto"/>
          <w:highlight w:val="none"/>
          <w:lang w:val="ru-RU"/>
        </w:rPr>
        <w:t xml:space="preserve">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rFonts w:cs="Times New Roman"/>
          <w:color w:val="auto"/>
          <w:highlight w:val="none"/>
          <w:lang w:val="ru-RU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color w:val="auto"/>
          <w:highlight w:val="none"/>
          <w:lang w:val="ru-RU"/>
        </w:rPr>
      </w:r>
      <w:bookmarkStart w:id="1" w:name="P73"/>
      <w:r>
        <w:rPr>
          <w:color w:val="auto"/>
          <w:highlight w:val="none"/>
          <w:lang w:val="ru-RU"/>
        </w:rPr>
      </w:r>
      <w:bookmarkEnd w:id="1"/>
      <w:r>
        <w:rPr>
          <w:rFonts w:cs="Times New Roman"/>
          <w:color w:val="auto"/>
          <w:highlight w:val="none"/>
          <w:lang w:val="ru-RU"/>
        </w:rPr>
        <w:t xml:space="preserve">8) наличие неиспользованного остатка субсидий, предоставленных ранее на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color w:val="auto"/>
          <w:highlight w:val="none"/>
          <w:lang w:val="ru-RU"/>
        </w:rPr>
      </w:r>
      <w:bookmarkStart w:id="2" w:name="P75"/>
      <w:r>
        <w:rPr>
          <w:color w:val="auto"/>
          <w:highlight w:val="none"/>
          <w:lang w:val="ru-RU"/>
        </w:rPr>
      </w:r>
      <w:bookmarkEnd w:id="2"/>
      <w:r>
        <w:rPr>
          <w:rFonts w:cs="Times New Roman"/>
          <w:color w:val="auto"/>
          <w:highlight w:val="none"/>
          <w:lang w:val="ru-RU"/>
        </w:rPr>
        <w:t xml:space="preserve">9) сокращение объема субсидии, в случае если объем бюджетных ассигнований на исполнение расходных обязательств муниципального образования, в целях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которых предоставляются субсидии, установлен в местном бюджете ниже </w:t>
      </w:r>
      <w:r>
        <w:rPr>
          <w:rFonts w:cs="Times New Roman"/>
          <w:color w:val="auto"/>
          <w:highlight w:val="none"/>
          <w:lang w:val="ru-RU"/>
        </w:rPr>
        <w:t xml:space="preserve">уровней, предусмотренных порядками предоставления субсидий, пропорционально снижению соответствующего</w:t>
      </w:r>
      <w:r>
        <w:rPr>
          <w:rFonts w:cs="Times New Roman"/>
          <w:color w:val="auto"/>
          <w:highlight w:val="none"/>
          <w:lang w:val="ru-RU"/>
        </w:rPr>
        <w:t xml:space="preserve"> уровня финансирования исполнения расходных обязательств муниципального образования за счет средств местного бюджета</w:t>
      </w:r>
      <w:r>
        <w:rPr>
          <w:rFonts w:cs="Times New Roman"/>
          <w:color w:val="auto"/>
          <w:highlight w:val="none"/>
          <w:lang w:val="ru-RU"/>
        </w:rPr>
        <w:t xml:space="preserve">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10) наличие обязательства муниципального образования обеспечить за счет средств</w:t>
      </w:r>
      <w:r>
        <w:rPr>
          <w:rFonts w:cs="Times New Roman"/>
          <w:color w:val="auto"/>
          <w:highlight w:val="none"/>
          <w:lang w:val="ru-RU"/>
        </w:rPr>
        <w:t xml:space="preserve"> местного бюджета оснащение специализированным оборудованием, компьютерной техникой, мебелью и музыкальными инструментами капитально ремонтируемых учреждений культурно-досугового типа в случае возникновения у муниципального образования такой необходимости.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11) наличие на территории муниципального образования учреждений культурно-досугового типа, указанных в подпункте 5 пункта 5 настоящего порядка.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ind w:firstLine="0"/>
        <w:jc w:val="center"/>
        <w:widowControl w:val="off"/>
        <w:rPr>
          <w:rFonts w:cs="Times New Roman"/>
          <w:b/>
          <w:color w:val="auto"/>
          <w:highlight w:val="none"/>
        </w:rPr>
      </w:pPr>
      <w:r>
        <w:rPr>
          <w:rFonts w:cs="Times New Roman"/>
          <w:b/>
          <w:color w:val="auto"/>
          <w:highlight w:val="none"/>
          <w:lang w:val="ru-RU"/>
        </w:rPr>
        <w:t xml:space="preserve">III</w:t>
      </w:r>
      <w:r>
        <w:rPr>
          <w:rFonts w:cs="Times New Roman"/>
          <w:b/>
          <w:color w:val="auto"/>
          <w:highlight w:val="none"/>
          <w:lang w:val="ru-RU"/>
        </w:rPr>
        <w:t xml:space="preserve">. Порядок распределения субсидий</w:t>
      </w: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7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5</w:t>
      </w:r>
      <w:r>
        <w:rPr>
          <w:color w:val="auto"/>
          <w:sz w:val="28"/>
          <w:szCs w:val="28"/>
          <w:highlight w:val="none"/>
          <w:lang w:val="ru-RU"/>
        </w:rPr>
        <w:t xml:space="preserve">. Критерии отбора муниципальных образований для предоставления субсидий: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7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1) н</w:t>
      </w:r>
      <w:r>
        <w:rPr>
          <w:color w:val="auto"/>
          <w:sz w:val="28"/>
          <w:szCs w:val="28"/>
          <w:highlight w:val="none"/>
          <w:lang w:val="ru-RU"/>
        </w:rPr>
        <w:t xml:space="preserve">аличие в муниципальном образовании потребности в</w:t>
      </w:r>
      <w:r>
        <w:rPr>
          <w:color w:val="auto"/>
          <w:sz w:val="28"/>
          <w:szCs w:val="28"/>
          <w:highlight w:val="none"/>
          <w:lang w:val="ru-RU"/>
        </w:rPr>
        <w:t xml:space="preserve"> модернизации</w:t>
      </w:r>
      <w:r>
        <w:rPr>
          <w:color w:val="auto"/>
          <w:sz w:val="28"/>
          <w:szCs w:val="28"/>
          <w:highlight w:val="none"/>
          <w:lang w:val="ru-RU"/>
        </w:rPr>
        <w:t xml:space="preserve"> учреждений культурно-досугового типа,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культуры, </w:t>
      </w:r>
      <w:r>
        <w:rPr>
          <w:color w:val="auto"/>
          <w:sz w:val="28"/>
          <w:szCs w:val="28"/>
          <w:highlight w:val="none"/>
        </w:rPr>
        <w:t xml:space="preserve"> учитывая </w:t>
      </w:r>
      <w:r>
        <w:rPr>
          <w:color w:val="auto"/>
          <w:sz w:val="28"/>
          <w:szCs w:val="28"/>
          <w:highlight w:val="none"/>
        </w:rPr>
        <w:t xml:space="preserve">приоритетность </w:t>
      </w:r>
      <w:r>
        <w:rPr>
          <w:color w:val="auto"/>
          <w:sz w:val="28"/>
          <w:szCs w:val="28"/>
          <w:highlight w:val="none"/>
        </w:rPr>
        <w:t xml:space="preserve">объектов, расположенных в опорных населенных пунктах;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7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2</w:t>
      </w:r>
      <w:r>
        <w:rPr>
          <w:color w:val="auto"/>
          <w:sz w:val="28"/>
          <w:szCs w:val="28"/>
          <w:highlight w:val="none"/>
          <w:lang w:val="ru-RU"/>
        </w:rPr>
        <w:t xml:space="preserve">) наличие утвержденной в установленном порядке проектно-сметной документации на капитальный ремонт, имеющей положительное заключение о достоверности определения сметной стоимости объекта (далее – положительное заключение) либо гарантийное письмо главы муни</w:t>
      </w:r>
      <w:r>
        <w:rPr>
          <w:color w:val="auto"/>
          <w:sz w:val="28"/>
          <w:szCs w:val="28"/>
          <w:highlight w:val="none"/>
          <w:lang w:val="ru-RU"/>
        </w:rPr>
        <w:t xml:space="preserve">ципального образования, подтверждающее представление такой документации с указанием планируемой даты ее утверждения и получения положительного заключения. Корректировка проектно-сметной документации на капитальный ремонт в рамках соглашения не допускается;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7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/>
        </w:rPr>
        <w:t xml:space="preserve">3) наличие гарантии муниципального образования, обеспечивающей последующее профильное использование учреждения культурно-досугового типа </w:t>
      </w:r>
      <w:r>
        <w:rPr>
          <w:color w:val="auto"/>
          <w:sz w:val="28"/>
          <w:szCs w:val="28"/>
          <w:highlight w:val="none"/>
          <w:lang w:val="ru-RU"/>
        </w:rPr>
        <w:t xml:space="preserve">или центра культурного развития;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7"/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4) наличие сформированн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ого Министерство культуры Российской Федерации (далее – Минкультуры России) перечня учреждений культурно-досугового типа с указанием размера предусмотренного финансирования за счет средств федерального бюджета на очередной финансовый год и плановый период.</w:t>
      </w:r>
      <w:r>
        <w:rPr>
          <w:color w:val="auto"/>
          <w:sz w:val="28"/>
          <w:szCs w:val="28"/>
          <w:highlight w:val="none"/>
          <w:lang w:val="ru-RU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Распределение объемов субсидий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осуществляется Министерством на основании соглашения, заключаемого между Минкультуры России и Правительством Новосибирской области по итогам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тбора, в соответствии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Правилами предоставления и распределения субсидий из федерального бюджета бюджетам субъектов Российской Федерации и г. Байконура на развитие сети учреждений культурно-досугового типа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, установленными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15.04.2014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317 «Об утверждении государственной программы Российской Федерации «Развитие культу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ры»,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с учетом критериев, установленных пунктом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настоящего порядк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7</w:t>
      </w:r>
      <w:r>
        <w:rPr>
          <w:rFonts w:cs="Times New Roman"/>
          <w:color w:val="auto"/>
          <w:highlight w:val="none"/>
          <w:lang w:val="ru-RU"/>
        </w:rPr>
        <w:t xml:space="preserve">. Объем субсидий бюджетам муниципальных образований</w:t>
      </w:r>
      <w:r>
        <w:rPr>
          <w:rFonts w:cs="Times New Roman"/>
          <w:color w:val="auto"/>
          <w:highlight w:val="none"/>
          <w:lang w:val="ru-RU"/>
        </w:rPr>
        <w:t xml:space="preserve"> рассчитывается в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пределах объема бюджетных ассигнований областного бюджета, предусматриваемого Министерству на очередной финансовый год, с учетом </w:t>
      </w:r>
      <w:r>
        <w:rPr>
          <w:rFonts w:cs="Times New Roman"/>
          <w:bCs/>
          <w:color w:val="auto"/>
          <w:highlight w:val="none"/>
          <w:lang w:val="ru-RU"/>
        </w:rPr>
        <w:t xml:space="preserve">уровня </w:t>
      </w:r>
      <w:r>
        <w:rPr>
          <w:rFonts w:cs="Times New Roman"/>
          <w:bCs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bCs/>
          <w:color w:val="auto"/>
          <w:highlight w:val="none"/>
          <w:lang w:val="ru-RU"/>
        </w:rPr>
        <w:t xml:space="preserve"> </w:t>
      </w:r>
      <w:r>
        <w:rPr>
          <w:rFonts w:cs="Times New Roman"/>
          <w:bCs/>
          <w:color w:val="auto"/>
          <w:highlight w:val="none"/>
          <w:lang w:val="ru-RU"/>
        </w:rPr>
        <w:t xml:space="preserve">Новосибирской областью объема </w:t>
      </w:r>
      <w:r>
        <w:rPr>
          <w:rFonts w:cs="Times New Roman"/>
          <w:bCs/>
          <w:color w:val="auto"/>
          <w:highlight w:val="none"/>
          <w:lang w:val="ru-RU"/>
        </w:rPr>
        <w:t xml:space="preserve">расходных обязательств муниципальных образований, в целях </w:t>
      </w:r>
      <w:r>
        <w:rPr>
          <w:rFonts w:cs="Times New Roman"/>
          <w:bCs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bCs/>
          <w:color w:val="auto"/>
          <w:highlight w:val="none"/>
          <w:lang w:val="ru-RU"/>
        </w:rPr>
        <w:t xml:space="preserve"> которых предоставляется субсидия, равного </w:t>
      </w:r>
      <w:r>
        <w:rPr>
          <w:rFonts w:cs="Times New Roman"/>
          <w:bCs/>
          <w:color w:val="auto"/>
          <w:highlight w:val="none"/>
          <w:lang w:val="ru-RU"/>
        </w:rPr>
        <w:t xml:space="preserve">предельному </w:t>
      </w:r>
      <w:r>
        <w:rPr>
          <w:rFonts w:cs="Times New Roman"/>
          <w:bCs/>
          <w:color w:val="auto"/>
          <w:highlight w:val="none"/>
          <w:lang w:val="ru-RU"/>
        </w:rPr>
        <w:t xml:space="preserve">уровню </w:t>
      </w:r>
      <w:r>
        <w:rPr>
          <w:rFonts w:cs="Times New Roman"/>
          <w:bCs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bCs/>
          <w:color w:val="auto"/>
          <w:highlight w:val="none"/>
          <w:lang w:val="ru-RU"/>
        </w:rPr>
        <w:t xml:space="preserve"> Новосибирской областью объема расходных обязательств муниципальных образований</w:t>
      </w:r>
      <w:r>
        <w:rPr>
          <w:rFonts w:cs="Times New Roman"/>
          <w:bCs/>
          <w:color w:val="auto"/>
          <w:highlight w:val="none"/>
          <w:lang w:val="ru-RU"/>
        </w:rPr>
        <w:t xml:space="preserve">, предусмотренному</w:t>
      </w:r>
      <w:r>
        <w:rPr>
          <w:rFonts w:cs="Times New Roman"/>
          <w:color w:val="auto"/>
          <w:highlight w:val="none"/>
          <w:lang w:val="ru-RU"/>
        </w:rPr>
        <w:t xml:space="preserve"> распоряжением Правительства Новосибирской области </w:t>
      </w:r>
      <w:r>
        <w:rPr>
          <w:rFonts w:cs="Times New Roman"/>
          <w:bCs/>
          <w:color w:val="auto"/>
          <w:highlight w:val="none"/>
          <w:lang w:val="ru-RU"/>
        </w:rPr>
        <w:t xml:space="preserve">об установлении предельных уровней </w:t>
      </w:r>
      <w:r>
        <w:rPr>
          <w:rFonts w:cs="Times New Roman"/>
          <w:bCs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на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очередной ф</w:t>
      </w:r>
      <w:r>
        <w:rPr>
          <w:rFonts w:cs="Times New Roman"/>
          <w:color w:val="auto"/>
          <w:highlight w:val="none"/>
          <w:lang w:val="ru-RU"/>
        </w:rPr>
        <w:t xml:space="preserve">инансовый год и плановый период</w:t>
      </w:r>
      <w:r>
        <w:rPr>
          <w:rFonts w:cs="Times New Roman"/>
          <w:color w:val="auto"/>
          <w:highlight w:val="none"/>
          <w:lang w:val="ru-RU"/>
        </w:rPr>
        <w:t xml:space="preserve"> для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соответствующего муниципального образования (далее – распоряжение о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предельных уровнях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).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В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случае предоставления бюджету муниципального района субсидий на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уровень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равен уровню, предусмотренному распоряжением о предельных уровнях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для соответствующего </w:t>
      </w:r>
      <w:r>
        <w:rPr>
          <w:rFonts w:cs="Times New Roman"/>
          <w:color w:val="auto"/>
          <w:highlight w:val="none"/>
          <w:lang w:val="ru-RU"/>
        </w:rPr>
        <w:t xml:space="preserve">поселения.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Объем субсидий бюджетам муниципальных образований </w:t>
      </w:r>
      <w:r>
        <w:rPr>
          <w:rFonts w:cs="Times New Roman"/>
          <w:color w:val="auto"/>
          <w:highlight w:val="none"/>
          <w:lang w:val="ru-RU"/>
        </w:rPr>
        <w:t xml:space="preserve">(</w:t>
      </w:r>
      <w:r>
        <w:rPr>
          <w:rFonts w:cs="Times New Roman"/>
          <w:color w:val="auto"/>
          <w:highlight w:val="none"/>
          <w:lang w:val="ru-RU"/>
        </w:rPr>
        <w:t xml:space="preserve">Ci</w:t>
      </w:r>
      <w:r>
        <w:rPr>
          <w:rFonts w:cs="Times New Roman"/>
          <w:color w:val="auto"/>
          <w:highlight w:val="none"/>
          <w:lang w:val="ru-RU"/>
        </w:rPr>
        <w:t xml:space="preserve">) </w:t>
      </w:r>
      <w:r>
        <w:rPr>
          <w:rFonts w:cs="Times New Roman"/>
          <w:color w:val="auto"/>
          <w:highlight w:val="none"/>
          <w:lang w:val="ru-RU"/>
        </w:rPr>
        <w:t xml:space="preserve">ра</w:t>
      </w:r>
      <w:r>
        <w:rPr>
          <w:rFonts w:cs="Times New Roman"/>
          <w:color w:val="auto"/>
          <w:highlight w:val="none"/>
          <w:lang w:val="ru-RU"/>
        </w:rPr>
        <w:t xml:space="preserve">ссчитывается по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формуле: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sz w:val="20"/>
          <w:szCs w:val="20"/>
          <w:highlight w:val="none"/>
        </w:rPr>
      </w:pPr>
      <w:r>
        <w:rPr>
          <w:rFonts w:cs="Times New Roman"/>
          <w:color w:val="auto"/>
          <w:sz w:val="20"/>
          <w:szCs w:val="20"/>
          <w:highlight w:val="none"/>
          <w:lang w:val="ru-RU"/>
        </w:rPr>
      </w:r>
      <w:r>
        <w:rPr>
          <w:rFonts w:cs="Times New Roman"/>
          <w:color w:val="auto"/>
          <w:sz w:val="20"/>
          <w:szCs w:val="20"/>
          <w:highlight w:val="none"/>
          <w:lang w:val="ru-RU"/>
        </w:rPr>
      </w:r>
      <w:r>
        <w:rPr>
          <w:rFonts w:cs="Times New Roman"/>
          <w:color w:val="auto"/>
          <w:sz w:val="20"/>
          <w:szCs w:val="20"/>
          <w:highlight w:val="none"/>
        </w:rPr>
      </w:r>
    </w:p>
    <w:p>
      <w:pPr>
        <w:pStyle w:val="876"/>
        <w:jc w:val="center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С</w:t>
      </w:r>
      <w:r>
        <w:rPr>
          <w:rFonts w:cs="Times New Roman"/>
          <w:color w:val="auto"/>
          <w:highlight w:val="none"/>
          <w:lang w:val="ru-RU"/>
        </w:rPr>
        <w:t xml:space="preserve">i</w:t>
      </w:r>
      <w:r>
        <w:rPr>
          <w:rFonts w:cs="Times New Roman"/>
          <w:color w:val="auto"/>
          <w:highlight w:val="none"/>
          <w:lang w:val="ru-RU"/>
        </w:rPr>
        <w:t xml:space="preserve">=</w:t>
      </w:r>
      <w:r>
        <w:rPr>
          <w:rFonts w:cs="Times New Roman"/>
          <w:color w:val="auto"/>
          <w:highlight w:val="none"/>
          <w:lang w:val="ru-RU"/>
        </w:rPr>
        <w:t xml:space="preserve">S</w:t>
      </w:r>
      <w:r>
        <w:rPr>
          <w:rFonts w:cs="Times New Roman"/>
          <w:color w:val="auto"/>
          <w:highlight w:val="none"/>
          <w:lang w:val="ru-RU"/>
        </w:rPr>
        <w:t xml:space="preserve">ф/</w:t>
      </w:r>
      <w:r>
        <w:rPr>
          <w:rFonts w:cs="Times New Roman"/>
          <w:color w:val="auto"/>
          <w:highlight w:val="none"/>
          <w:lang w:val="ru-RU"/>
        </w:rPr>
        <w:t xml:space="preserve">Пу</w:t>
      </w:r>
      <w:r>
        <w:rPr>
          <w:rFonts w:cs="Times New Roman"/>
          <w:color w:val="auto"/>
          <w:highlight w:val="none"/>
          <w:lang w:val="ru-RU"/>
        </w:rPr>
        <w:t xml:space="preserve"> х </w:t>
      </w:r>
      <w:r>
        <w:rPr>
          <w:rFonts w:cs="Times New Roman"/>
          <w:color w:val="auto"/>
          <w:highlight w:val="none"/>
          <w:lang w:val="ru-RU"/>
        </w:rPr>
        <w:t xml:space="preserve">100, где: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jc w:val="center"/>
        <w:widowControl w:val="off"/>
        <w:rPr>
          <w:rFonts w:cs="Times New Roman"/>
          <w:color w:val="auto"/>
          <w:sz w:val="20"/>
          <w:szCs w:val="20"/>
          <w:highlight w:val="none"/>
        </w:rPr>
      </w:pPr>
      <w:r>
        <w:rPr>
          <w:rFonts w:cs="Times New Roman"/>
          <w:color w:val="auto"/>
          <w:sz w:val="20"/>
          <w:szCs w:val="20"/>
          <w:highlight w:val="none"/>
          <w:lang w:val="ru-RU"/>
        </w:rPr>
      </w:r>
      <w:r>
        <w:rPr>
          <w:rFonts w:cs="Times New Roman"/>
          <w:color w:val="auto"/>
          <w:sz w:val="20"/>
          <w:szCs w:val="20"/>
          <w:highlight w:val="none"/>
          <w:lang w:val="ru-RU"/>
        </w:rPr>
      </w:r>
      <w:r>
        <w:rPr>
          <w:rFonts w:cs="Times New Roman"/>
          <w:color w:val="auto"/>
          <w:sz w:val="20"/>
          <w:szCs w:val="20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S</w:t>
      </w:r>
      <w:r>
        <w:rPr>
          <w:rFonts w:cs="Times New Roman"/>
          <w:color w:val="auto"/>
          <w:highlight w:val="none"/>
          <w:lang w:val="ru-RU"/>
        </w:rPr>
        <w:t xml:space="preserve">ф – объем бюджетных ассигнований из федерального бюджета, предусмотренных для </w:t>
      </w:r>
      <w:r>
        <w:rPr>
          <w:rFonts w:cs="Times New Roman"/>
          <w:color w:val="auto"/>
          <w:highlight w:val="none"/>
          <w:lang w:val="ru-RU"/>
        </w:rPr>
        <w:t xml:space="preserve">учреждений муниципального обр</w:t>
      </w:r>
      <w:r>
        <w:rPr>
          <w:rFonts w:cs="Times New Roman"/>
          <w:color w:val="auto"/>
          <w:highlight w:val="none"/>
          <w:lang w:val="ru-RU"/>
        </w:rPr>
        <w:t xml:space="preserve">азования, </w:t>
      </w:r>
      <w:r>
        <w:rPr>
          <w:rFonts w:cs="Times New Roman"/>
          <w:color w:val="auto"/>
          <w:highlight w:val="none"/>
          <w:lang w:val="ru-RU"/>
        </w:rPr>
        <w:t xml:space="preserve">в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соответствии с пунктом </w:t>
      </w:r>
      <w:r>
        <w:rPr>
          <w:rFonts w:cs="Times New Roman"/>
          <w:color w:val="auto"/>
          <w:highlight w:val="none"/>
          <w:lang w:val="ru-RU"/>
        </w:rPr>
        <w:t xml:space="preserve">6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Style w:val="887"/>
          <w:rFonts w:cs="Times New Roman"/>
          <w:color w:val="auto"/>
          <w:highlight w:val="none"/>
          <w:lang w:val="ru-RU"/>
        </w:rPr>
        <w:t xml:space="preserve">настоящего </w:t>
      </w:r>
      <w:r>
        <w:rPr>
          <w:rFonts w:cs="Times New Roman"/>
          <w:color w:val="auto"/>
          <w:highlight w:val="none"/>
          <w:lang w:val="ru-RU"/>
        </w:rPr>
        <w:t xml:space="preserve">порядка;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Пу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предельный уровень </w:t>
      </w:r>
      <w:r>
        <w:rPr>
          <w:rFonts w:cs="Times New Roman"/>
          <w:color w:val="auto"/>
          <w:highlight w:val="none"/>
          <w:lang w:val="ru-RU"/>
        </w:rPr>
        <w:t xml:space="preserve">софинансирования</w:t>
      </w:r>
      <w:r>
        <w:rPr>
          <w:rFonts w:cs="Times New Roman"/>
          <w:color w:val="auto"/>
          <w:highlight w:val="none"/>
          <w:lang w:val="ru-RU"/>
        </w:rPr>
        <w:t xml:space="preserve"> расходного обязательства Новосибирской области из федерального бюджета, утвержденный Правительством Российской Федерации.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ff0000"/>
          <w:highlight w:val="none"/>
        </w:rPr>
      </w:pPr>
      <w:r>
        <w:rPr>
          <w:rFonts w:cs="Times New Roman"/>
          <w:color w:val="ff0000"/>
          <w:highlight w:val="none"/>
          <w:lang w:val="ru-RU"/>
        </w:rPr>
      </w:r>
      <w:r>
        <w:rPr>
          <w:rFonts w:cs="Times New Roman"/>
          <w:color w:val="ff0000"/>
          <w:highlight w:val="none"/>
          <w:lang w:val="ru-RU"/>
        </w:rPr>
      </w:r>
      <w:r>
        <w:rPr>
          <w:rFonts w:cs="Times New Roman"/>
          <w:color w:val="ff0000"/>
          <w:highlight w:val="none"/>
        </w:rPr>
      </w:r>
    </w:p>
    <w:p>
      <w:pPr>
        <w:pStyle w:val="876"/>
        <w:ind w:firstLine="0"/>
        <w:jc w:val="center"/>
        <w:widowControl w:val="off"/>
        <w:rPr>
          <w:rFonts w:cs="Times New Roman"/>
          <w:b/>
          <w:color w:val="auto"/>
          <w:highlight w:val="none"/>
        </w:rPr>
      </w:pPr>
      <w:r>
        <w:rPr>
          <w:rFonts w:cs="Times New Roman"/>
          <w:b/>
          <w:color w:val="auto"/>
          <w:highlight w:val="none"/>
          <w:lang w:val="ru-RU"/>
        </w:rPr>
        <w:t xml:space="preserve">IV. Порядок предоставления и использования субсидий</w:t>
      </w: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</w:rPr>
      </w:r>
    </w:p>
    <w:p>
      <w:pPr>
        <w:pStyle w:val="876"/>
        <w:ind w:firstLine="0"/>
        <w:jc w:val="center"/>
        <w:widowControl w:val="off"/>
        <w:rPr>
          <w:rFonts w:cs="Times New Roman"/>
          <w:b/>
          <w:color w:val="auto"/>
          <w:highlight w:val="none"/>
        </w:rPr>
      </w:pP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  <w:lang w:val="ru-RU"/>
        </w:rPr>
      </w:r>
      <w:r>
        <w:rPr>
          <w:rFonts w:cs="Times New Roman"/>
          <w:b/>
          <w:color w:val="auto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Субсидии предоставляются на основании соглашения о предоставлении субсидий, заключенного между Министерством и му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ниципальным образованием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Соглашение).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9</w:t>
      </w:r>
      <w:r>
        <w:rPr>
          <w:rFonts w:cs="Times New Roman"/>
          <w:color w:val="auto"/>
          <w:highlight w:val="none"/>
          <w:lang w:val="ru-RU"/>
        </w:rPr>
        <w:t xml:space="preserve">. Предоставление субсидий, в том числе источником финансового обеспечения которых являются субсид</w:t>
      </w:r>
      <w:r>
        <w:rPr>
          <w:rFonts w:cs="Times New Roman"/>
          <w:color w:val="auto"/>
          <w:highlight w:val="none"/>
          <w:lang w:val="ru-RU"/>
        </w:rPr>
        <w:t xml:space="preserve">ии из федерального бюджета,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Министерству, на соответствующий финансовый год.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10</w:t>
      </w:r>
      <w:r>
        <w:rPr>
          <w:rFonts w:cs="Times New Roman"/>
          <w:color w:val="auto"/>
          <w:highlight w:val="none"/>
          <w:lang w:val="ru-RU"/>
        </w:rPr>
        <w:t xml:space="preserve">. Субсидии расходуются </w:t>
      </w:r>
      <w:r>
        <w:rPr>
          <w:rStyle w:val="887"/>
          <w:rFonts w:cs="Times New Roman"/>
          <w:color w:val="auto"/>
          <w:highlight w:val="none"/>
          <w:lang w:val="ru-RU"/>
        </w:rPr>
        <w:t xml:space="preserve">муниципальными обр</w:t>
      </w:r>
      <w:r>
        <w:rPr>
          <w:rFonts w:cs="Times New Roman"/>
          <w:color w:val="auto"/>
          <w:highlight w:val="none"/>
          <w:lang w:val="ru-RU"/>
        </w:rPr>
        <w:t xml:space="preserve">азованиями </w:t>
      </w:r>
      <w:r>
        <w:rPr>
          <w:rFonts w:cs="Times New Roman"/>
          <w:color w:val="auto"/>
          <w:highlight w:val="none"/>
          <w:lang w:val="ru-RU"/>
        </w:rPr>
        <w:t xml:space="preserve">при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выполнении следующих условий: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1) соблюдение условий Соглашения о финансировании работ </w:t>
      </w:r>
      <w:r>
        <w:rPr>
          <w:rFonts w:cs="Times New Roman"/>
          <w:color w:val="auto"/>
          <w:highlight w:val="none"/>
          <w:lang w:val="ru-RU"/>
        </w:rPr>
        <w:t xml:space="preserve">по </w:t>
      </w:r>
      <w:r>
        <w:rPr>
          <w:rFonts w:cs="Times New Roman"/>
          <w:color w:val="auto"/>
          <w:highlight w:val="none"/>
          <w:lang w:val="ru-RU"/>
        </w:rPr>
        <w:t xml:space="preserve">развитию сети учреждений культурно-досугового типа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в рамках реализации меропр</w:t>
      </w:r>
      <w:r>
        <w:rPr>
          <w:rFonts w:cs="Times New Roman"/>
          <w:color w:val="auto"/>
          <w:highlight w:val="none"/>
          <w:lang w:val="ru-RU"/>
        </w:rPr>
        <w:t xml:space="preserve">иятий государственной программы</w:t>
      </w:r>
      <w:r>
        <w:rPr>
          <w:rFonts w:cs="Times New Roman"/>
          <w:color w:val="auto"/>
          <w:highlight w:val="none"/>
          <w:lang w:val="ru-RU"/>
        </w:rPr>
        <w:t xml:space="preserve">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2) о</w:t>
      </w:r>
      <w:r>
        <w:rPr>
          <w:rFonts w:cs="Times New Roman"/>
          <w:color w:val="auto"/>
          <w:highlight w:val="none"/>
          <w:lang w:val="ru-RU"/>
        </w:rPr>
        <w:t xml:space="preserve">существление расходов прои</w:t>
      </w:r>
      <w:r>
        <w:rPr>
          <w:rFonts w:cs="Times New Roman"/>
          <w:color w:val="auto"/>
          <w:highlight w:val="none"/>
          <w:lang w:val="ru-RU"/>
        </w:rPr>
        <w:t xml:space="preserve">зводится: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а</w:t>
      </w:r>
      <w:r>
        <w:rPr>
          <w:rFonts w:cs="Times New Roman"/>
          <w:color w:val="auto"/>
          <w:highlight w:val="none"/>
          <w:lang w:val="ru-RU"/>
        </w:rPr>
        <w:t xml:space="preserve">) с лицевых счетов администраций муниципальных образований или с лицевых счетов муниципальных казенных учреждений, уполномоченных органами местного самоуправления, на основании государственных (муниципальных) контрактов, заключенных в соответствии с Федера</w:t>
      </w:r>
      <w:r>
        <w:rPr>
          <w:rFonts w:cs="Times New Roman"/>
          <w:color w:val="auto"/>
          <w:highlight w:val="none"/>
          <w:lang w:val="ru-RU"/>
        </w:rPr>
        <w:t xml:space="preserve">л</w:t>
      </w:r>
      <w:r>
        <w:rPr>
          <w:rFonts w:cs="Times New Roman"/>
          <w:color w:val="auto"/>
          <w:highlight w:val="none"/>
          <w:lang w:val="ru-RU"/>
        </w:rPr>
        <w:t xml:space="preserve">ьным законом от 05.04.2013 № 44-ФЗ «О контрактной системе в сфере закупок товаров, работ, услуг для обеспечения государственных и муниципальных нужд», актов выполненных работ, счетов-фактур с учетом авансовых платежей в размере, определенном действующим за</w:t>
      </w:r>
      <w:r>
        <w:rPr>
          <w:rFonts w:cs="Times New Roman"/>
          <w:color w:val="auto"/>
          <w:highlight w:val="none"/>
          <w:lang w:val="ru-RU"/>
        </w:rPr>
        <w:t xml:space="preserve">конодательством;</w:t>
      </w:r>
      <w:r>
        <w:rPr>
          <w:color w:val="auto"/>
          <w:highlight w:val="none"/>
          <w:lang w:val="ru-RU"/>
        </w:rPr>
      </w:r>
      <w:r>
        <w:rPr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б) с лицевых счетов администраций муниципальных образований на основании соглашений о предоставлении субсидий </w:t>
      </w:r>
      <w:r>
        <w:rPr>
          <w:rFonts w:cs="Times New Roman"/>
          <w:color w:val="auto"/>
          <w:highlight w:val="none"/>
          <w:lang w:val="ru-RU"/>
        </w:rPr>
        <w:t xml:space="preserve">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</w:t>
      </w:r>
      <w:r>
        <w:rPr>
          <w:rFonts w:cs="Times New Roman"/>
          <w:color w:val="auto"/>
          <w:highlight w:val="none"/>
          <w:lang w:val="ru-RU"/>
        </w:rPr>
        <w:t xml:space="preserve">в соответствии с порядком предоставления субсидий, установленным нормативным правовым актом администрации муниципального образования;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  <w:t xml:space="preserve">в) </w:t>
      </w:r>
      <w:r>
        <w:rPr>
          <w:rFonts w:cs="Times New Roman"/>
          <w:color w:val="auto"/>
          <w:highlight w:val="none"/>
          <w:lang w:val="ru-RU"/>
        </w:rPr>
        <w:t xml:space="preserve">с лицевых счетов администраций муниципальных образований на основании соглашений о предоставлении межбюджетных трансфертов </w:t>
      </w:r>
      <w:r>
        <w:rPr>
          <w:rFonts w:cs="Times New Roman"/>
          <w:color w:val="auto"/>
          <w:highlight w:val="none"/>
          <w:lang w:val="ru-RU"/>
        </w:rPr>
        <w:t xml:space="preserve">бюджетам поселений, расположенных в границах муниципального образования, в рамках установленных направлений расходования субсидии с заключением соответствующих соглашений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rFonts w:cs="Times New Roman"/>
          <w:color w:val="auto"/>
          <w:highlight w:val="none"/>
          <w:lang w:val="ru-RU"/>
        </w:rPr>
        <w:t xml:space="preserve">в соответствии с порядком предоставления межбюджетных трансфертов, установленным нормативным правовым актом администрации муниципального образования.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11</w:t>
      </w:r>
      <w:r>
        <w:rPr>
          <w:rFonts w:cs="Times New Roman"/>
          <w:color w:val="auto"/>
          <w:highlight w:val="none"/>
          <w:lang w:val="ru-RU"/>
        </w:rPr>
        <w:t xml:space="preserve">. Требования к представлению отчетности. Муниципальные образования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– получатели субсидий </w:t>
      </w:r>
      <w:r>
        <w:rPr>
          <w:color w:val="auto"/>
          <w:sz w:val="28"/>
          <w:szCs w:val="28"/>
          <w:highlight w:val="none"/>
          <w:lang w:val="ru-RU"/>
        </w:rPr>
        <w:t xml:space="preserve">размещают</w:t>
      </w:r>
      <w:r>
        <w:rPr>
          <w:rFonts w:cs="Times New Roman"/>
          <w:color w:val="auto"/>
          <w:highlight w:val="none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lang w:val="ru-RU"/>
        </w:rPr>
        <w:t xml:space="preserve">в ГИИС «Электронный бюджет»</w:t>
      </w:r>
      <w:r>
        <w:rPr>
          <w:color w:val="auto"/>
          <w:sz w:val="28"/>
          <w:szCs w:val="28"/>
          <w:highlight w:val="none"/>
          <w:lang w:val="ru-RU"/>
        </w:rPr>
        <w:t xml:space="preserve"> в сроки и по формам, установленным в Соглашении</w:t>
      </w:r>
      <w:r>
        <w:rPr>
          <w:rFonts w:cs="Times New Roman"/>
          <w:color w:val="auto"/>
          <w:highlight w:val="none"/>
          <w:lang w:val="ru-RU"/>
        </w:rPr>
        <w:t xml:space="preserve">:</w: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1) отчет о расходах, в целях софинансирования которых предоставляется субсидия</w:t>
      </w:r>
      <w:r>
        <w:rPr>
          <w:rFonts w:cs="Times New Roman"/>
          <w:color w:val="auto"/>
          <w:highlight w:val="none"/>
          <w:lang w:val="ru-RU"/>
        </w:rPr>
        <w:t xml:space="preserve">;</w: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2) отчет о достижении значений результатов использования субсидии и обязательств, принятых в целях их достижения (далее – отчет о результатах)</w:t>
      </w:r>
      <w:r>
        <w:rPr>
          <w:rFonts w:cs="Times New Roman"/>
          <w:color w:val="auto"/>
          <w:highlight w:val="none"/>
          <w:lang w:val="ru-RU"/>
        </w:rPr>
        <w:t xml:space="preserve">.</w:t>
      </w:r>
      <w:r>
        <w:rPr>
          <w:rFonts w:cs="Times New Roman"/>
          <w:color w:val="auto"/>
          <w:highlight w:val="none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12</w:t>
      </w:r>
      <w:r>
        <w:rPr>
          <w:rFonts w:cs="Times New Roman"/>
          <w:color w:val="auto"/>
          <w:highlight w:val="none"/>
          <w:lang w:val="ru-RU"/>
        </w:rPr>
        <w:t xml:space="preserve">. Эффективность использования субсидий оценивается Министерством на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основании достижения муниципальными образованиями </w:t>
      </w:r>
      <w:r>
        <w:rPr>
          <w:rFonts w:cs="Times New Roman"/>
          <w:color w:val="auto"/>
          <w:highlight w:val="none"/>
          <w:lang w:val="ru-RU"/>
        </w:rPr>
        <w:t xml:space="preserve">значения </w:t>
      </w:r>
      <w:r>
        <w:rPr>
          <w:rFonts w:cs="Times New Roman"/>
          <w:color w:val="auto"/>
          <w:highlight w:val="none"/>
          <w:lang w:val="ru-RU"/>
        </w:rPr>
        <w:t xml:space="preserve">показателя результата использования субсидий путем сравнения фактически достигнутого значения и</w:t>
      </w:r>
      <w:r>
        <w:rPr>
          <w:rFonts w:cs="Times New Roman"/>
          <w:color w:val="auto"/>
          <w:highlight w:val="none"/>
          <w:lang w:val="ru-RU"/>
        </w:rPr>
        <w:t xml:space="preserve"> </w:t>
      </w:r>
      <w:r>
        <w:rPr>
          <w:rFonts w:cs="Times New Roman"/>
          <w:color w:val="auto"/>
          <w:highlight w:val="none"/>
          <w:lang w:val="ru-RU"/>
        </w:rPr>
        <w:t xml:space="preserve">установленного Соглашением планового значения показателя результата использования субсидии.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Показатель результата использования субсидии, учитываемый при оценке </w:t>
      </w:r>
      <w:r>
        <w:rPr>
          <w:rFonts w:cs="Times New Roman"/>
          <w:color w:val="auto"/>
          <w:highlight w:val="none"/>
          <w:lang w:val="ru-RU"/>
        </w:rPr>
        <w:t xml:space="preserve">эффективности ее использования</w:t>
      </w:r>
      <w:r>
        <w:rPr>
          <w:rFonts w:cs="Times New Roman"/>
          <w:color w:val="auto"/>
          <w:highlight w:val="none"/>
          <w:lang w:val="ru-RU"/>
        </w:rPr>
        <w:t xml:space="preserve">: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проведена </w:t>
      </w:r>
      <w:r>
        <w:rPr>
          <w:rFonts w:cs="Times New Roman"/>
          <w:color w:val="auto"/>
          <w:highlight w:val="none"/>
          <w:lang w:val="ru-RU"/>
        </w:rPr>
        <w:t xml:space="preserve">модернизации учреждений культурно-досу</w:t>
      </w:r>
      <w:r>
        <w:rPr>
          <w:rFonts w:cs="Times New Roman"/>
          <w:color w:val="auto"/>
          <w:highlight w:val="none"/>
          <w:lang w:val="ru-RU"/>
        </w:rPr>
        <w:t xml:space="preserve">гового типа в населенных пунктах с численностью до 500 тысяч чело</w:t>
      </w:r>
      <w:r>
        <w:rPr>
          <w:rFonts w:cs="Times New Roman"/>
          <w:color w:val="auto"/>
          <w:highlight w:val="none"/>
          <w:lang w:val="ru-RU"/>
        </w:rPr>
        <w:t xml:space="preserve">ве</w:t>
      </w:r>
      <w:r>
        <w:rPr>
          <w:rFonts w:cs="Times New Roman"/>
          <w:color w:val="auto"/>
          <w:highlight w:val="none"/>
          <w:lang w:val="ru-RU"/>
        </w:rPr>
        <w:t xml:space="preserve">к</w:t>
      </w:r>
      <w:r>
        <w:rPr>
          <w:rFonts w:cs="Times New Roman"/>
          <w:color w:val="auto"/>
          <w:highlight w:val="none"/>
          <w:lang w:val="ru-RU"/>
        </w:rPr>
        <w:t xml:space="preserve">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bCs/>
          <w:color w:val="auto"/>
          <w:highlight w:val="none"/>
        </w:rPr>
      </w:pPr>
      <w:r>
        <w:rPr>
          <w:rFonts w:cs="Times New Roman"/>
          <w:bCs/>
          <w:color w:val="auto"/>
          <w:highlight w:val="none"/>
          <w:lang w:val="ru-RU"/>
        </w:rPr>
        <w:t xml:space="preserve">В</w:t>
      </w:r>
      <w:r>
        <w:rPr>
          <w:rFonts w:cs="Times New Roman"/>
          <w:bCs/>
          <w:color w:val="auto"/>
          <w:highlight w:val="none"/>
          <w:lang w:val="ru-RU"/>
        </w:rPr>
        <w:t xml:space="preserve"> </w:t>
      </w:r>
      <w:r>
        <w:rPr>
          <w:rFonts w:cs="Times New Roman"/>
          <w:bCs/>
          <w:color w:val="auto"/>
          <w:highlight w:val="none"/>
          <w:lang w:val="ru-RU"/>
        </w:rPr>
        <w:t xml:space="preserve">случае если Соглашение заключено в рамках исполнения муниципальным образованием расходных обязательств, </w:t>
      </w:r>
      <w:r>
        <w:rPr>
          <w:rFonts w:cs="Times New Roman"/>
          <w:bCs/>
          <w:color w:val="auto"/>
          <w:highlight w:val="none"/>
          <w:lang w:val="ru-RU"/>
        </w:rPr>
        <w:t xml:space="preserve">софинансирование</w:t>
      </w:r>
      <w:r>
        <w:rPr>
          <w:rFonts w:cs="Times New Roman"/>
          <w:bCs/>
          <w:color w:val="auto"/>
          <w:highlight w:val="none"/>
          <w:lang w:val="ru-RU"/>
        </w:rPr>
        <w:t xml:space="preserve"> которых полностью или частично обеспечивается за счет целевых межбюджетных трансфертов, предоставляемых из федерал</w:t>
      </w:r>
      <w:r>
        <w:rPr>
          <w:rFonts w:cs="Times New Roman"/>
          <w:bCs/>
          <w:color w:val="auto"/>
          <w:highlight w:val="none"/>
          <w:lang w:val="ru-RU"/>
        </w:rPr>
        <w:t xml:space="preserve">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России и Правительством Новосибирской области</w:t>
      </w:r>
      <w:r>
        <w:rPr>
          <w:rFonts w:cs="Times New Roman"/>
          <w:bCs/>
          <w:color w:val="auto"/>
          <w:highlight w:val="none"/>
          <w:lang w:val="ru-RU"/>
        </w:rPr>
        <w:t xml:space="preserve">,</w:t>
      </w:r>
      <w:r>
        <w:rPr>
          <w:rFonts w:cs="Times New Roman"/>
          <w:bCs/>
          <w:color w:val="auto"/>
          <w:highlight w:val="none"/>
          <w:lang w:val="ru-RU"/>
        </w:rPr>
        <w:t xml:space="preserve"> о</w:t>
      </w:r>
      <w:r>
        <w:rPr>
          <w:rFonts w:cs="Times New Roman"/>
          <w:bCs/>
          <w:color w:val="auto"/>
          <w:highlight w:val="none"/>
          <w:lang w:val="ru-RU"/>
        </w:rPr>
        <w:t xml:space="preserve"> </w:t>
      </w:r>
      <w:r>
        <w:rPr>
          <w:rFonts w:cs="Times New Roman"/>
          <w:bCs/>
          <w:color w:val="auto"/>
          <w:highlight w:val="none"/>
          <w:lang w:val="ru-RU"/>
        </w:rPr>
        <w:t xml:space="preserve">предоставлении межбюджетных трансфертов.</w:t>
      </w:r>
      <w:r>
        <w:rPr>
          <w:rFonts w:cs="Times New Roman"/>
          <w:bCs/>
          <w:color w:val="auto"/>
          <w:highlight w:val="none"/>
          <w:lang w:val="ru-RU"/>
        </w:rPr>
      </w:r>
      <w:r>
        <w:rPr>
          <w:rFonts w:cs="Times New Roman"/>
          <w:bCs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года – не позднее 25 января года, следующего за отчетным, на основании данных отчета о результатах.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Эффективность использования субсидии рассчитывается по следующей формуле: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auto"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  <w:lang w:val="ru-RU"/>
        </w:rPr>
      </w:r>
      <m:oMath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b"/>
          </m:rPr>
          <m:t>Э=</m:t>
        </m:r>
        <m:f>
          <m:fPr>
            <m:ctrlP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highlight w:val="none"/>
                    <w:lang w:val="ru-RU"/>
                  </w:rPr>
                  <m:rPr>
                    <m:sty m:val="b"/>
                  </m:rPr>
                  <m:t>Р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highlight w:val="none"/>
                    <w:lang w:val="ru-RU"/>
                  </w:rPr>
                  <m:rPr>
                    <m:sty m:val="b"/>
                  </m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highlight w:val="none"/>
                    <w:lang w:val="ru-RU"/>
                  </w:rPr>
                  <m:rPr>
                    <m:sty m:val="b"/>
                  </m:rPr>
                  <m:t>Р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  <w:highlight w:val="none"/>
                    <w:lang w:val="ru-RU"/>
                  </w:rPr>
                  <m:rPr>
                    <m:sty m:val="b"/>
                  </m:rPr>
                  <m:t>план</m:t>
                </m:r>
              </m:sub>
            </m:sSub>
          </m:den>
        </m:f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b"/>
          </m:rPr>
          <m:t> х </m:t>
        </m:r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p"/>
          </m:rPr>
          <m:t>100 -100</m:t>
        </m:r>
        <m:r>
          <w:rPr>
            <w:rFonts w:ascii="Cambria Math" w:hAnsi="Cambria Math" w:cs="Times New Roman" w:eastAsiaTheme="minorEastAsia"/>
            <w:color w:val="auto"/>
            <w:sz w:val="28"/>
            <w:szCs w:val="28"/>
            <w:highlight w:val="none"/>
            <w:lang w:val="ru-RU"/>
          </w:rPr>
          <m:rPr>
            <m:sty m:val="p"/>
          </m:rPr>
          <m:t>, 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где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auto"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  <w:lang w:val="ru-RU"/>
        </w:rPr>
      </w:r>
      <m:oMath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bi"/>
          </m:rPr>
          <m:t>Э 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– показатель эффективности использования субсидии;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  <w:lang w:val="ru-RU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highlight w:val="none"/>
                <w:lang w:val="ru-RU"/>
              </w:rPr>
              <m:rPr>
                <m:sty m:val="bi"/>
              </m:rPr>
              <m:t>Р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highlight w:val="none"/>
                <w:lang w:val="ru-RU"/>
              </w:rPr>
              <m:rPr>
                <m:sty m:val="bi"/>
              </m:rPr>
              <m:t>факт</m:t>
            </m:r>
          </m:sub>
        </m:sSub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– фактически достигнутое муниципальным образованием значение показателя результата использования субсидии, указанное согласно отчету 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результатах;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  <w:lang w:val="ru-RU"/>
        </w:rPr>
      </w:r>
      <m:oMath>
        <m:sSub>
          <m:sSubPr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  <w:highlight w:val="none"/>
                <w:lang w:val="ru-RU"/>
              </w:rPr>
              <m:rPr>
                <m:sty m:val="bi"/>
              </m:rPr>
              <m:t>Р</m:t>
            </m:r>
          </m:e>
          <m:sub>
            <m:r>
              <w:rPr>
                <w:rFonts w:ascii="Cambria Math" w:hAnsi="Cambria Math" w:cs="Times New Roman"/>
                <w:color w:val="auto"/>
                <w:sz w:val="28"/>
                <w:szCs w:val="28"/>
                <w:highlight w:val="none"/>
                <w:lang w:val="ru-RU"/>
              </w:rPr>
              <m:rPr>
                <m:sty m:val="bi"/>
              </m:rPr>
              <m:t>план</m:t>
            </m:r>
          </m:sub>
        </m:sSub>
      </m:oMath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  <w:lang w:val="ru-RU"/>
        </w:rPr>
        <w:t xml:space="preserve"> – плановое значение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  <w:lang w:val="ru-RU"/>
        </w:rPr>
        <w:t xml:space="preserve">показателя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  <w:lang w:val="ru-RU"/>
        </w:rPr>
        <w:t xml:space="preserve">результата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использования субсидии, установленное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оглашением.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Критерии оценки эффективности использования субсидии: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целевое использование субсидии;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достижение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значения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показателя результата использования субсидии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соответствии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обязательствами, принятыми муниципальным образованием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использованию субсидии, установленн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Министерством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оглашении: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при </w:t>
      </w:r>
      <m:oMath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bi"/>
          </m:rPr>
          <m:t>Э ≥</m:t>
        </m:r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/>
          <m:t>0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, субсидия использована эффективно и муниципальным образованием достигнуто плановое значение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показателя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результата использования субсидии;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при </w:t>
      </w:r>
      <m:oMath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>
            <m:sty m:val="bi"/>
          </m:rPr>
          <m:t>Э &lt;</m:t>
        </m:r>
        <m:r>
          <w:rPr>
            <w:rFonts w:ascii="Cambria Math" w:hAnsi="Cambria Math" w:cs="Times New Roman"/>
            <w:color w:val="auto"/>
            <w:sz w:val="28"/>
            <w:szCs w:val="28"/>
            <w:highlight w:val="none"/>
            <w:lang w:val="ru-RU"/>
          </w:rPr>
          <m:rPr/>
          <m:t>0,</m:t>
        </m:r>
      </m:oMath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субсидия использована неэффективно, в данном случае применяются меры в соответствии с пунктами 17 18 настоящего порядка.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Контроль за соблюдением муниципальными образованиями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цели 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условий предоставления субсидий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осуществляется Министерством и органом государственного финансового контроля Новосибирской области в соответствии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. Не использованные по состоянию на 1 января текущего финансового года остатки целевых средств, переданных в отчетном финансовом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году из областного бюджета в местные бюджеты в форме субсидий на реализацию мероприятий государственной программы (далее – неиспользованные остатки целевых средств), подлежат возврату в доход областного бюджета в соответствии с бюджетным законодательством.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бюджетным законодательством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на основании решения Министерства.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Муниципальное образование и Министерство несут ответственность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неисполнение или ненадлежащее исполнение обязательств по Соглашению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Предоставленная субсидия подлежит возврату в областной бюджет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следующих случаях: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1) установлени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ее нецелевого использования;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2)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недостижение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значения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показателя результата использования субсидии, указанного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пункте 12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настоящего порядка;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3) несоблюдение установленного пунктом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настоящего порядка уровня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софинансирования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расходных обязательств муниципального образования.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При выявлении обстоятельств, указанных в пункте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настоящего порядка, Министерство в течение 10 рабочих дней со дня их обнаружения уведомляет муниципальное образовани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организации почтовой связи.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Муниципальное образование производит возврат субсидии в областной бюджет по платежным реквизитам, указанным в уведомлении о возврате субсиди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 случае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недостижения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муниципальным образованием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значения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показателя результата использования субсидии, а также в случае несоблюдения муниципальным образованием уровня софинанс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ирования расходных обязательств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субсидия подлежит возврату в областной бюдж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ет в соответствии с пунктами 18–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22 Правил.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нормативными правовыми актами, регулирующими бюджетные правоотношения.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19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. Основанием для освобождения муниципальных образований от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применения мер ответственности за нарушения условий Соглашений, предусмотренных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настоящим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порядком, является документально подтвержденное действие обстоятельств, не зависящих от воли сторон Соглашения, препятствующих исполнению соответствующих обязательст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в, в соответствии с пунктами 23–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  <w:t xml:space="preserve">23.3 Правил.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 В случае если в установленный срок муниципальное образование не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осуществило возврат субсидии или отказалось от ее возврата, Министерство принимает меры по возврату субсидии в судебном порядке в соответствии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widowControl w:val="off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p>
      <w:pPr>
        <w:pStyle w:val="876"/>
        <w:jc w:val="center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  <w:lang w:val="ru-RU"/>
        </w:rPr>
        <w:t xml:space="preserve">_________</w:t>
      </w:r>
      <w:r>
        <w:rPr>
          <w:rFonts w:cs="Times New Roman"/>
          <w:color w:val="auto"/>
          <w:highlight w:val="none"/>
          <w:lang w:val="ru-RU"/>
        </w:rPr>
        <w:t xml:space="preserve">».</w:t>
      </w:r>
      <w:r>
        <w:rPr>
          <w:rFonts w:cs="Times New Roman"/>
          <w:color w:val="auto"/>
          <w:highlight w:val="none"/>
          <w:lang w:val="ru-RU"/>
        </w:rPr>
      </w:r>
      <w:r>
        <w:rPr>
          <w:rFonts w:cs="Times New Roman"/>
          <w:color w:val="auto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00603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2897053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"/>
      <w:lvlJc w:val="left"/>
      <w:pPr>
        <w:ind w:left="5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9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5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2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9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1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</w:style>
  <w:style w:type="paragraph" w:styleId="685">
    <w:name w:val="Heading 1"/>
    <w:basedOn w:val="684"/>
    <w:next w:val="684"/>
    <w:link w:val="7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4"/>
    <w:uiPriority w:val="10"/>
    <w:rPr>
      <w:sz w:val="48"/>
      <w:szCs w:val="48"/>
    </w:rPr>
  </w:style>
  <w:style w:type="character" w:styleId="707" w:customStyle="1">
    <w:name w:val="Subtitle Char"/>
    <w:basedOn w:val="694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Заголовок 1 Знак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694"/>
    <w:link w:val="686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84"/>
    <w:next w:val="684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Заголовок Знак"/>
    <w:basedOn w:val="694"/>
    <w:link w:val="721"/>
    <w:uiPriority w:val="10"/>
    <w:rPr>
      <w:sz w:val="48"/>
      <w:szCs w:val="48"/>
    </w:rPr>
  </w:style>
  <w:style w:type="paragraph" w:styleId="723">
    <w:name w:val="Subtitle"/>
    <w:basedOn w:val="684"/>
    <w:next w:val="684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694"/>
    <w:link w:val="723"/>
    <w:uiPriority w:val="11"/>
    <w:rPr>
      <w:sz w:val="24"/>
      <w:szCs w:val="24"/>
    </w:rPr>
  </w:style>
  <w:style w:type="paragraph" w:styleId="725">
    <w:name w:val="Quote"/>
    <w:basedOn w:val="684"/>
    <w:next w:val="684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4"/>
    <w:next w:val="684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4"/>
    <w:uiPriority w:val="99"/>
  </w:style>
  <w:style w:type="character" w:styleId="730" w:customStyle="1">
    <w:name w:val="Footer Char"/>
    <w:basedOn w:val="694"/>
    <w:uiPriority w:val="99"/>
  </w:style>
  <w:style w:type="paragraph" w:styleId="731">
    <w:name w:val="Caption"/>
    <w:basedOn w:val="684"/>
    <w:next w:val="684"/>
    <w:link w:val="73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84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4"/>
    <w:uiPriority w:val="99"/>
    <w:unhideWhenUsed/>
    <w:rPr>
      <w:vertAlign w:val="superscript"/>
    </w:rPr>
  </w:style>
  <w:style w:type="paragraph" w:styleId="862">
    <w:name w:val="endnote text"/>
    <w:basedOn w:val="684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4"/>
    <w:uiPriority w:val="99"/>
    <w:semiHidden/>
    <w:unhideWhenUsed/>
    <w:rPr>
      <w:vertAlign w:val="superscript"/>
    </w:rPr>
  </w:style>
  <w:style w:type="paragraph" w:styleId="865">
    <w:name w:val="toc 1"/>
    <w:basedOn w:val="684"/>
    <w:next w:val="684"/>
    <w:uiPriority w:val="39"/>
    <w:unhideWhenUsed/>
    <w:pPr>
      <w:spacing w:after="57"/>
    </w:pPr>
  </w:style>
  <w:style w:type="paragraph" w:styleId="866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67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68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69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70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71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72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73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4"/>
    <w:next w:val="684"/>
    <w:uiPriority w:val="99"/>
    <w:unhideWhenUsed/>
    <w:pPr>
      <w:spacing w:after="0"/>
    </w:pPr>
  </w:style>
  <w:style w:type="paragraph" w:styleId="876">
    <w:name w:val="No Spacing"/>
    <w:uiPriority w:val="1"/>
    <w:qFormat/>
    <w:pPr>
      <w:contextualSpacing/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8">
    <w:name w:val="Balloon Text"/>
    <w:basedOn w:val="68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694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List Paragraph"/>
    <w:basedOn w:val="684"/>
    <w:uiPriority w:val="34"/>
    <w:qFormat/>
    <w:pPr>
      <w:contextualSpacing/>
      <w:ind w:left="720"/>
    </w:pPr>
  </w:style>
  <w:style w:type="paragraph" w:styleId="88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2">
    <w:name w:val="Header"/>
    <w:basedOn w:val="684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94"/>
    <w:link w:val="882"/>
    <w:uiPriority w:val="99"/>
  </w:style>
  <w:style w:type="paragraph" w:styleId="884">
    <w:name w:val="Footer"/>
    <w:basedOn w:val="684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94"/>
    <w:link w:val="884"/>
    <w:uiPriority w:val="99"/>
  </w:style>
  <w:style w:type="character" w:styleId="886">
    <w:name w:val="Hyperlink"/>
    <w:basedOn w:val="694"/>
    <w:uiPriority w:val="99"/>
    <w:unhideWhenUsed/>
    <w:rPr>
      <w:color w:val="0000ff" w:themeColor="hyperlink"/>
      <w:u w:val="single"/>
    </w:rPr>
  </w:style>
  <w:style w:type="character" w:styleId="887" w:customStyle="1">
    <w:name w:val="docdata"/>
    <w:basedOn w:val="694"/>
  </w:style>
  <w:style w:type="character" w:styleId="888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889">
    <w:name w:val="annotation text"/>
    <w:basedOn w:val="684"/>
    <w:link w:val="8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0" w:customStyle="1">
    <w:name w:val="Текст примечания Знак"/>
    <w:basedOn w:val="694"/>
    <w:link w:val="889"/>
    <w:uiPriority w:val="99"/>
    <w:semiHidden/>
    <w:rPr>
      <w:sz w:val="20"/>
      <w:szCs w:val="20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BD980F-5199-4019-BAED-2572C82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revision>24</cp:revision>
  <dcterms:created xsi:type="dcterms:W3CDTF">2024-08-08T06:56:00Z</dcterms:created>
  <dcterms:modified xsi:type="dcterms:W3CDTF">2025-01-28T09:29:53Z</dcterms:modified>
</cp:coreProperties>
</file>