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Документ предоставлен </w:t>
      </w:r>
      <w:hyperlink r:id="rId8" w:tooltip="https://www.consultant.ru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КонсультантПлюс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ДЕПАРТАМЕНТ ИМУЩЕСТВА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И ЗЕМЕЛЬНЫХ ОТНОШЕНИЙ НОВОСИБИРСКОЙ ОБЛАСТИ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ПРИКАЗ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от 29 июня 2015 г. N 1412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ОБ УТВЕРЖДЕНИИ СОСТАВА И ПОЛОЖЕНИЯ О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КОМИССИИ ПО РАССМОТРЕНИЮ ВОПРОСОВ, КАСАЮЩИХСЯ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ОПРЕДЕЛЕНИЯ ВИДА ФАКТИЧЕСКОГО ИСПОЛЬЗОВАНИЯ ЗДАНИЙ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(СТРОЕНИЙ, СООРУЖЕНИЙ) ДЛЯ ЦЕЛЕЙ НАЛОГООБЛОЖЕНИЯ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Список изменяющих документов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(в ред. приказов департамента имущества и земельных отношений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Новосибирской области от 15.02.2016 </w:t>
            </w:r>
            <w:hyperlink r:id="rId9" w:tooltip="https://login.consultant.ru/link/?req=doc&amp;base=RLAW049&amp;n=87385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215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 от 14.04.2016 </w:t>
            </w:r>
            <w:hyperlink r:id="rId10" w:tooltip="https://login.consultant.ru/link/?req=doc&amp;base=RLAW049&amp;n=88899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867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от 03.04.2018 </w:t>
            </w:r>
            <w:hyperlink r:id="rId11" w:tooltip="https://login.consultant.ru/link/?req=doc&amp;base=RLAW049&amp;n=108228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1311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 от 11.07.2018 </w:t>
            </w:r>
            <w:hyperlink r:id="rId12" w:tooltip="https://login.consultant.ru/link/?req=doc&amp;base=RLAW049&amp;n=110718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2751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 от 05.09.2018 </w:t>
            </w:r>
            <w:hyperlink r:id="rId13" w:tooltip="https://login.consultant.ru/link/?req=doc&amp;base=RLAW049&amp;n=112203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3679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от 23.10.2018 </w:t>
            </w:r>
            <w:hyperlink r:id="rId14" w:tooltip="https://login.consultant.ru/link/?req=doc&amp;base=RLAW049&amp;n=113378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4379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 от 24.08.2022 </w:t>
            </w:r>
            <w:hyperlink r:id="rId15" w:tooltip="https://login.consultant.ru/link/?req=doc&amp;base=RLAW049&amp;n=153963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2437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 от 07.12.2022 </w:t>
            </w:r>
            <w:hyperlink r:id="rId16" w:tooltip="https://login.consultant.ru/link/?req=doc&amp;base=RLAW049&amp;n=157210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3674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от 21.06.2024 </w:t>
            </w:r>
            <w:hyperlink r:id="rId17" w:tooltip="https://login.consultant.ru/link/?req=doc&amp;base=RLAW049&amp;n=173719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2056-НПА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Руководствуясь </w:t>
      </w:r>
      <w:hyperlink r:id="rId18" w:tooltip="https://login.consultant.ru/link/?req=doc&amp;base=RLAW049&amp;n=15503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Правительст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ва Новосибирской области от 22.06.2015 N 225-п "О порядке определения вида фактического использования зданий (строений, сооружений) и помещений, в отношении которых налоговая база по налогу на имущество организаций определяется как кадастровая стоимость", </w:t>
      </w:r>
      <w:hyperlink r:id="rId19" w:tooltip="https://login.consultant.ru/link/?req=doc&amp;base=RLAW049&amp;n=182590&amp;dst=10013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подпунктом 3 пункта 28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Положения о департаменте имущества и земельных отношений Новосибирской области, утвержденного постановлением Правительства Новосибирской области от 14.12.2016 N 428-п, приказываю: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(преамбула в ред. </w:t>
      </w:r>
      <w:hyperlink r:id="rId20" w:tooltip="https://login.consultant.ru/link/?req=doc&amp;base=RLAW049&amp;n=173719&amp;dst=10000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департамента имущества и земельных отношений Новосибирской области от 21.06.2024 N 2056-НПА)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 Создать Комиссию по рассмотрению вопросов, касающихся определения вида фактического использования зданий (строений, сооружений) для целей налогообложения (далее - комиссия).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(в ред. </w:t>
      </w:r>
      <w:hyperlink r:id="rId21" w:tooltip="https://login.consultant.ru/link/?req=doc&amp;base=RLAW049&amp;n=173719&amp;dst=10000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департамента имущества и земельных отношений Новосибирской области от 21.06.2024 N 2056-НПА)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 Утвердить: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1)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 комиссии согласно приложению N 1 к приказу;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2)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состав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комиссии согласно приложению N 2 к приказу.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Член Правительства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Новосибирской области -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руководитель департамента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Р.Г.ШИЛОХВОСТОВ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Приложение N 1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приказу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департамента имущества и земельных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отношений Новосибирской области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 29.06.2015 N 1412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" w:name="Par41"/>
      <w:r>
        <w:rPr>
          <w:rFonts w:ascii="Times New Roman" w:hAnsi="Times New Roman" w:eastAsia="Times New Roman" w:cs="Times New Roman"/>
          <w:sz w:val="24"/>
          <w:szCs w:val="24"/>
        </w:rPr>
      </w:r>
      <w:bookmarkEnd w:id="1"/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ПОЛОЖЕНИЕ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О КОМИССИИ ПО РАССМОТРЕНИЮ ВОПРОСОВ, КАСАЮЩИХСЯ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ОПРЕДЕЛЕНИЯ ВИДА ФАКТИЧЕСКОГО ИСПОЛЬЗОВАНИЯ ЗДАНИЙ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(СТРОЕНИЙ, СООРУЖЕНИЙ) ДЛЯ ЦЕЛЕЙ НАЛОГООБЛОЖЕНИЯ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Список изменяющих документов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(в ред. приказов департамента имущества и земельных отношений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Новосибирской области от 05.09.2018 </w:t>
            </w:r>
            <w:hyperlink r:id="rId22" w:tooltip="https://login.consultant.ru/link/?req=doc&amp;base=RLAW049&amp;n=112203&amp;dst=100006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3679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 от 21.06.2024 </w:t>
            </w:r>
            <w:hyperlink r:id="rId23" w:tooltip="https://login.consultant.ru/link/?req=doc&amp;base=RLAW049&amp;n=173719&amp;dst=100009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2056-НПА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1. Общие положения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1.1. Настоящее Положение определяет основные задачи, полномочия и порядок деятельности Комиссии по рассмотрению вопросов, касающихся определения вида фактического использования зданий (строений, сооружений) для целей налогообложения (далее - комиссия).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(в ред. </w:t>
      </w:r>
      <w:hyperlink r:id="rId24" w:tooltip="https://login.consultant.ru/link/?req=doc&amp;base=RLAW049&amp;n=173719&amp;dst=10001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департамента имущества и земельных отношений Новосибирской области от 21.06.2024 N 2056-НПА)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1.2. Комиссия создана для рассмотрения вопросов, касающихся определения вида фактического использования зданий (строений, сооружений) и нежил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ых помещений для целей налогообложения, а также рассмотрения вопросов, связанных с обращениями собственников недвижимого имущества, включенного (не включенного) в перечень объектов, в отношении которых налоговая база определяется как кадастровая стоимость.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(в ред. </w:t>
      </w:r>
      <w:hyperlink r:id="rId25" w:tooltip="https://login.consultant.ru/link/?req=doc&amp;base=RLAW049&amp;n=173719&amp;dst=10001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департамента имущества и земельных отношений Новосибирской области от 21.06.2024 N 2056-НПА)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1.3. Председателем комиссии является руководитель департамента имущества и земельных отношений Новосибирской области (далее - департамент) либо заместитель руководителя департамента.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(п. 1.3 в ред. </w:t>
      </w:r>
      <w:hyperlink r:id="rId26" w:tooltip="https://login.consultant.ru/link/?req=doc&amp;base=RLAW049&amp;n=112203&amp;dst=10000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департамента имущества и земельных отношений Новосибирской области от 05.09.2018 N 3679)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1.4. В своей деятельности комиссия руководствуется </w:t>
      </w:r>
      <w:hyperlink r:id="rId27" w:tooltip="https://login.consultant.ru/link/?req=doc&amp;base=LAW&amp;n=287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Конституцией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Российской Федерации, Федеральным </w:t>
      </w:r>
      <w:hyperlink r:id="rId28" w:tooltip="https://login.consultant.ru/link/?req=doc&amp;base=LAW&amp;n=20062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от 2 ноября 2013 г. N 307-ФЗ "О внесении изменений в статью 12 части первой и главу 30 части второй Налогового кодекса Российской Федерации", </w:t>
      </w:r>
      <w:hyperlink r:id="rId29" w:tooltip="https://login.consultant.ru/link/?req=doc&amp;base=RLAW049&amp;n=18136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Новоси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бирской области от 16 октября 2003 г. N 142-ОЗ "О налогах и особенностях налогообложения отдельных категорий налогоплательщиков в Новосибирской области", иными нормативными правовыми актами Российской Федерации, Новосибирской области, настоящим Положением.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2. Основные полномочия комиссии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Комиссия осуществляет следующие полномочия в установленной сфере деятельности: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" w:name="Par62"/>
      <w:r>
        <w:rPr>
          <w:rFonts w:ascii="Times New Roman" w:hAnsi="Times New Roman" w:eastAsia="Times New Roman" w:cs="Times New Roman"/>
          <w:sz w:val="24"/>
          <w:szCs w:val="24"/>
        </w:rPr>
      </w:r>
      <w:bookmarkEnd w:id="2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2.1. Рассматривает вопросы, касающиеся определения вида фактического использования зданий (строений, сооружений) и нежилых помещений для целей налогообложения.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(в ред. </w:t>
      </w:r>
      <w:hyperlink r:id="rId30" w:tooltip="https://login.consultant.ru/link/?req=doc&amp;base=RLAW049&amp;n=173719&amp;dst=10001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департамента имущества и земельных отношений Новосибирской области от 21.06.2024 N 2056-НПА)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" w:name="Par64"/>
      <w:r>
        <w:rPr>
          <w:rFonts w:ascii="Times New Roman" w:hAnsi="Times New Roman" w:eastAsia="Times New Roman" w:cs="Times New Roman"/>
          <w:sz w:val="24"/>
          <w:szCs w:val="24"/>
        </w:rPr>
      </w:r>
      <w:bookmarkEnd w:id="3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2.2. Рассматривает вопросы, связанные с обращениями собственников недвижимого имущества, включенного (не включенного) в перечень объектов, в отношении которых налоговая база определяется как кадастровая стоимость.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2.3. Запрашивает и получает в установленном порядке от органов государственной власти, организаций информацию, необходимую для осуществления своей деятельности.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2.4. Дает рекомендации департаменту о повторном проведении мероприятий по определению вида фактического использования зданий (строений, сооружений) и нежилых 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омещений для целей налогообложения и рассматривает вопросы, касающиеся определения вида фактического использования зданий (строений, сооружений) и нежилых помещений для целей налогообложения с учетом результатов повторного проведения указанных мероприятий.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(в ред. </w:t>
      </w:r>
      <w:hyperlink r:id="rId31" w:tooltip="https://login.consultant.ru/link/?req=doc&amp;base=RLAW049&amp;n=173719&amp;dst=10001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департамента имущества и земельных отношений Новосибирской области от 21.06.2024 N 2056-НПА)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3. Порядок деятельности комиссии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3.1. Комиссию возглавляет председатель, а в случае его отсутствия - заместитель председателя комиссии.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3.2. Комиссия осуществляет свою деятельность в форме заседаний.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3.3. Заседания комиссии проводятся по мере необходимости, но не реже одного раза в квартал.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3.4. Заседание комиссии считается правомочным, если в нем участвуют не менее половины от общего числа членов комиссии.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" w:name="Par75"/>
      <w:r>
        <w:rPr>
          <w:rFonts w:ascii="Times New Roman" w:hAnsi="Times New Roman" w:eastAsia="Times New Roman" w:cs="Times New Roman"/>
          <w:sz w:val="24"/>
          <w:szCs w:val="24"/>
        </w:rPr>
      </w:r>
      <w:bookmarkEnd w:id="4"/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3.5. По итогам рассмотрения вопросов, указанных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пунктах 2.1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2.2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настоящего Положения, и при формировании на очередной налоговый период перечня объектов недвижимого имущества, в отношении которых налоговая база определяется как кадастровая стоимость, комиссия принимает решения: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- о включении в перечень объектов недвижимого имущества, в отношении которых налоговая база определяется как кадастровая стоимость;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- об исключении из перечня объектов недвижимого имущества, в отношении которых налоговая база определяется как кадастровая стоимость;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- об отказе включения в перечень объектов недвижимого имущества, в отношении которых налоговая база определяется как кадастровая стоимость;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- об отказе в исключении из перечня объектов недвижимого имущества, в отношении которых налоговая база определяется как кадастровая стоимость;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- о проведении дополнительных мероприятий.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3.6. Комиссия принимает решения простым большинством голосов от числа присутствующих на заседании членов комиссии. В случае равенства голосов голос председательствующего на заседании комиссии является решающим.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3.7. Члены комиссии, не согласные с принятым решением, вправе письменно изложить свое мнение, которое приобщается к принятому решению.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3.8. Решения комиссии оформляются протоколом заседания комиссии, который подписывается председателем комиссии, а в его отсутствие председательствующим на заседании заместителем председателя комиссии.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3.9. На основании решения комиссии, указанного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подпункте 3.5 пункта 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настоящего Положения, департамент не позднее семи рабочих дней после дня принятия такого решения обеспечивает внесение изменени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й в информацию о результатах проведения мероприятий по определению вида фактического использования объектов недвижимости для целей налогообложения, размещенную на официальном сайте департамента в информационно-телекоммуникационной сети Интернет по адресу: </w:t>
      </w:r>
      <w:hyperlink r:id="rId32" w:tooltip="www.dizo.nso.ru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www.dizo.nso.ru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в разделе "Документы/Результаты проверок".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(в ред. </w:t>
      </w:r>
      <w:hyperlink r:id="rId33" w:tooltip="https://login.consultant.ru/link/?req=doc&amp;base=RLAW049&amp;n=173719&amp;dst=10001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4"/>
            <w:szCs w:val="24"/>
          </w:rPr>
          <w:t xml:space="preserve">приказа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 департамента имущества и земельных отношений Новосибирской области от 21.06.2024 N 2056-НПА)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3.10. Организационно-техническое и документационное обеспечение деятельности комиссии осуществляет департамент.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Приложение N 2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 приказу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департамента имущества и земельных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отношений Новосибирской области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righ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от 29 июня 2015 г. N 1412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5" w:name="Par98"/>
      <w:r>
        <w:rPr>
          <w:rFonts w:ascii="Times New Roman" w:hAnsi="Times New Roman" w:eastAsia="Times New Roman" w:cs="Times New Roman"/>
          <w:sz w:val="24"/>
          <w:szCs w:val="24"/>
        </w:rPr>
      </w:r>
      <w:bookmarkEnd w:id="5"/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СОСТАВ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КОМИССИИ ПО РАССМОТРЕНИЮ ВОПРОСОВ, КАСАЮЩИХСЯ ОПРЕДЕЛЕНИЯ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ВИДА ФАКТИЧЕСКОГО ИСПОЛЬЗОВАНИЯ ЗДАНИЙ (СТРОЕНИЙ,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4"/>
          <w:szCs w:val="24"/>
        </w:rPr>
        <w:t xml:space="preserve">СООРУЖЕНИЙ) ДЛЯ ЦЕЛЕЙ НАЛОГООБЛОЖЕНИЯ</w:t>
      </w:r>
      <w:r>
        <w:rPr>
          <w:rFonts w:ascii="Times New Roman" w:hAnsi="Times New Roman" w:cs="Times New Roman"/>
          <w:b/>
          <w:i w:val="0"/>
          <w:strike w:val="0"/>
          <w:sz w:val="24"/>
          <w:szCs w:val="24"/>
        </w:rPr>
      </w:r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Список изменяющих документов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(в ред. приказов департамента имущества и земельных отношений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Новосибирской области от 23.10.2018 </w:t>
            </w:r>
            <w:hyperlink r:id="rId34" w:tooltip="https://login.consultant.ru/link/?req=doc&amp;base=RLAW049&amp;n=113378&amp;dst=100005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4379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 от 24.08.2022 </w:t>
            </w:r>
            <w:hyperlink r:id="rId35" w:tooltip="https://login.consultant.ru/link/?req=doc&amp;base=RLAW049&amp;n=153963&amp;dst=100008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2437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от 07.12.2022 </w:t>
            </w:r>
            <w:hyperlink r:id="rId36" w:tooltip="https://login.consultant.ru/link/?req=doc&amp;base=RLAW049&amp;n=157210&amp;dst=100006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3674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, от 21.06.2024 </w:t>
            </w:r>
            <w:hyperlink r:id="rId37" w:tooltip="https://login.consultant.ru/link/?req=doc&amp;base=RLAW049&amp;n=173719&amp;dst=100016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ff"/>
                  <w:sz w:val="24"/>
                  <w:szCs w:val="24"/>
                </w:rPr>
                <w:t xml:space="preserve">N 2056-НПА</w:t>
              </w:r>
            </w:hyperlink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392c69"/>
                <w:sz w:val="24"/>
                <w:szCs w:val="24"/>
              </w:rPr>
            </w:r>
          </w:p>
        </w:tc>
      </w:tr>
    </w:tbl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Шилохвостов Роман Геннадьевич - руководитель департамента имущества и земельных отношений Новосибирской области, председатель комиссии;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Ивашевский Павел Валерьевич - начальник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области, заместитель председателя комиссии;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Юнусова Ксения Евгеньевна - главный специалист отдела обеспечения доходов департамента имущества и земельных отношений Новосибирской области, секретарь комиссии;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Калашникова Светлана Валерьевна - заместитель руководителя департамента - начальник юридического отдела департамента имущества и земельных отношений Новосибирской области;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Семенцова Любовь Петровна - главный государственный налоговый инспектор отдела налогообложения юридических лиц Управления Федеральной налоговой службы по Новосибирской области;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Хаустов Александр Игоревич - начальник управления муниципального имущества мэрии города Новосибирска;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Хлевной Роман Анатольевич - главный инженер государственного бюджетного учреждения Новосибирской области "Новосибирский центр кадастровой оценки и инвентаризации";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16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Ястребова Любовь Борисовна - начальник отдела государственной регистрации недвижимости N 2 Управления Федеральной службы государственной регистрации, кадастра и картографии по Новосибирской области.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ind w:left="0" w:firstLine="0"/>
        <w:jc w:val="both"/>
        <w:spacing w:before="100" w:after="100" w:line="240" w:lineRule="auto"/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53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16"/>
    </w:rPr>
  </w:style>
  <w:style w:type="paragraph" w:styleId="654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55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16"/>
    </w:rPr>
  </w:style>
  <w:style w:type="paragraph" w:styleId="656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57">
    <w:name w:val="       ConsPlusDocLis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16"/>
    </w:rPr>
  </w:style>
  <w:style w:type="paragraph" w:styleId="658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659">
    <w:name w:val="       ConsPlusJurTerm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6"/>
    </w:rPr>
  </w:style>
  <w:style w:type="paragraph" w:styleId="660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661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1389" w:default="1">
    <w:name w:val="Default Paragraph Font"/>
    <w:uiPriority w:val="1"/>
    <w:semiHidden/>
    <w:unhideWhenUsed/>
  </w:style>
  <w:style w:type="numbering" w:styleId="1390" w:default="1">
    <w:name w:val="No List"/>
    <w:uiPriority w:val="99"/>
    <w:semiHidden/>
    <w:unhideWhenUsed/>
  </w:style>
  <w:style w:type="table" w:styleId="13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87385&amp;dst=100005" TargetMode="External"/><Relationship Id="rId10" Type="http://schemas.openxmlformats.org/officeDocument/2006/relationships/hyperlink" Target="https://login.consultant.ru/link/?req=doc&amp;base=RLAW049&amp;n=88899&amp;dst=100005" TargetMode="External"/><Relationship Id="rId11" Type="http://schemas.openxmlformats.org/officeDocument/2006/relationships/hyperlink" Target="https://login.consultant.ru/link/?req=doc&amp;base=RLAW049&amp;n=108228&amp;dst=100005" TargetMode="External"/><Relationship Id="rId12" Type="http://schemas.openxmlformats.org/officeDocument/2006/relationships/hyperlink" Target="https://login.consultant.ru/link/?req=doc&amp;base=RLAW049&amp;n=110718&amp;dst=100005" TargetMode="External"/><Relationship Id="rId13" Type="http://schemas.openxmlformats.org/officeDocument/2006/relationships/hyperlink" Target="https://login.consultant.ru/link/?req=doc&amp;base=RLAW049&amp;n=112203&amp;dst=100005" TargetMode="External"/><Relationship Id="rId14" Type="http://schemas.openxmlformats.org/officeDocument/2006/relationships/hyperlink" Target="https://login.consultant.ru/link/?req=doc&amp;base=RLAW049&amp;n=113378&amp;dst=100005" TargetMode="External"/><Relationship Id="rId15" Type="http://schemas.openxmlformats.org/officeDocument/2006/relationships/hyperlink" Target="https://login.consultant.ru/link/?req=doc&amp;base=RLAW049&amp;n=153963&amp;dst=100005" TargetMode="External"/><Relationship Id="rId16" Type="http://schemas.openxmlformats.org/officeDocument/2006/relationships/hyperlink" Target="https://login.consultant.ru/link/?req=doc&amp;base=RLAW049&amp;n=157210&amp;dst=100005" TargetMode="External"/><Relationship Id="rId17" Type="http://schemas.openxmlformats.org/officeDocument/2006/relationships/hyperlink" Target="https://login.consultant.ru/link/?req=doc&amp;base=RLAW049&amp;n=173719&amp;dst=100005" TargetMode="External"/><Relationship Id="rId18" Type="http://schemas.openxmlformats.org/officeDocument/2006/relationships/hyperlink" Target="https://login.consultant.ru/link/?req=doc&amp;base=RLAW049&amp;n=155033" TargetMode="External"/><Relationship Id="rId19" Type="http://schemas.openxmlformats.org/officeDocument/2006/relationships/hyperlink" Target="https://login.consultant.ru/link/?req=doc&amp;base=RLAW049&amp;n=182590&amp;dst=100136" TargetMode="External"/><Relationship Id="rId20" Type="http://schemas.openxmlformats.org/officeDocument/2006/relationships/hyperlink" Target="https://login.consultant.ru/link/?req=doc&amp;base=RLAW049&amp;n=173719&amp;dst=100007" TargetMode="External"/><Relationship Id="rId21" Type="http://schemas.openxmlformats.org/officeDocument/2006/relationships/hyperlink" Target="https://login.consultant.ru/link/?req=doc&amp;base=RLAW049&amp;n=173719&amp;dst=100008" TargetMode="External"/><Relationship Id="rId22" Type="http://schemas.openxmlformats.org/officeDocument/2006/relationships/hyperlink" Target="https://login.consultant.ru/link/?req=doc&amp;base=RLAW049&amp;n=112203&amp;dst=100006" TargetMode="External"/><Relationship Id="rId23" Type="http://schemas.openxmlformats.org/officeDocument/2006/relationships/hyperlink" Target="https://login.consultant.ru/link/?req=doc&amp;base=RLAW049&amp;n=173719&amp;dst=100009" TargetMode="External"/><Relationship Id="rId24" Type="http://schemas.openxmlformats.org/officeDocument/2006/relationships/hyperlink" Target="https://login.consultant.ru/link/?req=doc&amp;base=RLAW049&amp;n=173719&amp;dst=100011" TargetMode="External"/><Relationship Id="rId25" Type="http://schemas.openxmlformats.org/officeDocument/2006/relationships/hyperlink" Target="https://login.consultant.ru/link/?req=doc&amp;base=RLAW049&amp;n=173719&amp;dst=100012" TargetMode="External"/><Relationship Id="rId26" Type="http://schemas.openxmlformats.org/officeDocument/2006/relationships/hyperlink" Target="https://login.consultant.ru/link/?req=doc&amp;base=RLAW049&amp;n=112203&amp;dst=100006" TargetMode="External"/><Relationship Id="rId27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200629" TargetMode="External"/><Relationship Id="rId29" Type="http://schemas.openxmlformats.org/officeDocument/2006/relationships/hyperlink" Target="https://login.consultant.ru/link/?req=doc&amp;base=RLAW049&amp;n=181367" TargetMode="External"/><Relationship Id="rId30" Type="http://schemas.openxmlformats.org/officeDocument/2006/relationships/hyperlink" Target="https://login.consultant.ru/link/?req=doc&amp;base=RLAW049&amp;n=173719&amp;dst=100013" TargetMode="External"/><Relationship Id="rId31" Type="http://schemas.openxmlformats.org/officeDocument/2006/relationships/hyperlink" Target="https://login.consultant.ru/link/?req=doc&amp;base=RLAW049&amp;n=173719&amp;dst=100014" TargetMode="External"/><Relationship Id="rId32" Type="http://schemas.openxmlformats.org/officeDocument/2006/relationships/hyperlink" Target="www.dizo.nso.ru" TargetMode="External"/><Relationship Id="rId33" Type="http://schemas.openxmlformats.org/officeDocument/2006/relationships/hyperlink" Target="https://login.consultant.ru/link/?req=doc&amp;base=RLAW049&amp;n=173719&amp;dst=100015" TargetMode="External"/><Relationship Id="rId34" Type="http://schemas.openxmlformats.org/officeDocument/2006/relationships/hyperlink" Target="https://login.consultant.ru/link/?req=doc&amp;base=RLAW049&amp;n=113378&amp;dst=100005" TargetMode="External"/><Relationship Id="rId35" Type="http://schemas.openxmlformats.org/officeDocument/2006/relationships/hyperlink" Target="https://login.consultant.ru/link/?req=doc&amp;base=RLAW049&amp;n=153963&amp;dst=100008" TargetMode="External"/><Relationship Id="rId36" Type="http://schemas.openxmlformats.org/officeDocument/2006/relationships/hyperlink" Target="https://login.consultant.ru/link/?req=doc&amp;base=RLAW049&amp;n=157210&amp;dst=100006" TargetMode="External"/><Relationship Id="rId37" Type="http://schemas.openxmlformats.org/officeDocument/2006/relationships/hyperlink" Target="https://login.consultant.ru/link/?req=doc&amp;base=RLAW049&amp;n=173719&amp;dst=1000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имущества и земельных отношений Новосибирской области от 29.06.2015 N 1412(ред. от 21.06.2024)&amp;quot;Об утверждении состава и Положения о Комиссии по рассмотрению вопросов, касающихся определения вида фактического использования зданий (строений, сооружений) для целей налогообложения&amp;quot;</dc:title>
  <dc:creator/>
  <cp:revision>1</cp:revision>
  <dcterms:modified xsi:type="dcterms:W3CDTF">2025-06-04T08:27:35Z</dcterms:modified>
</cp:coreProperties>
</file>