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8"/>
        <w:tblW w:w="0" w:type="auto"/>
        <w:tblLayout w:type="fixed"/>
        <w:tblLook w:val="04A0" w:firstRow="1" w:lastRow="0" w:firstColumn="1" w:lastColumn="0" w:noHBand="0" w:noVBand="1"/>
      </w:tblPr>
      <w:tblGrid>
        <w:gridCol w:w="5244"/>
        <w:gridCol w:w="4111"/>
      </w:tblGrid>
      <w:tr>
        <w:tblPrEx/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5244" w:type="dxa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/>
                <w:bCs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411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УТВЕРЖДЕНА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постановлением Правительства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Новосибирской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highlight w:val="none"/>
              </w:rPr>
              <w:t xml:space="preserve">области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от ________  № ____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</w:r>
          </w:p>
        </w:tc>
      </w:tr>
    </w:tbl>
    <w:p>
      <w:pPr>
        <w:jc w:val="center"/>
        <w:spacing w:after="0" w:afterAutospacing="0" w:line="240" w:lineRule="auto"/>
        <w:shd w:val="clear" w:color="auto" w:fill="auto"/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240" w:lineRule="auto"/>
        <w:shd w:val="clear" w:color="auto" w:fill="auto"/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240" w:lineRule="auto"/>
        <w:shd w:val="clear" w:color="auto" w:fill="auto"/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  <w:t xml:space="preserve">Региональная программа Новосибирской области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  <w:t xml:space="preserve"> 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240" w:lineRule="auto"/>
        <w:shd w:val="clear" w:color="auto" w:fill="auto"/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  <w:t xml:space="preserve">«Переход Новосибирской области к экономике замкнутого цикла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  <w:t xml:space="preserve">»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240" w:lineRule="auto"/>
        <w:shd w:val="clear" w:color="auto" w:fill="auto"/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</w:p>
    <w:p>
      <w:pPr>
        <w:jc w:val="center"/>
        <w:spacing w:after="0" w:afterAutospacing="0" w:line="240" w:lineRule="auto"/>
        <w:shd w:val="clear" w:color="auto" w:fill="auto"/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</w:p>
    <w:p>
      <w:pPr>
        <w:jc w:val="center"/>
        <w:shd w:val="clear" w:color="auto" w:fill="auto"/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  <w:t xml:space="preserve">I. Паспорт региональной программы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</w:p>
    <w:tbl>
      <w:tblPr>
        <w:tblStyle w:val="748"/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804"/>
      </w:tblGrid>
      <w:tr>
        <w:tblPrEx/>
        <w:trPr/>
        <w:tc>
          <w:tcPr>
            <w:tcW w:w="2551" w:type="dxa"/>
            <w:textDirection w:val="lrTb"/>
            <w:noWrap w:val="false"/>
          </w:tcPr>
          <w:p>
            <w:pPr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Наименование программы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6804" w:type="dxa"/>
            <w:textDirection w:val="lrTb"/>
            <w:noWrap w:val="false"/>
          </w:tcPr>
          <w:p>
            <w:pPr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Переход Новосибирской области к экономике замкнутого цикла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322"/>
        </w:trPr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Основание разработки региональной программы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6804" w:type="dxa"/>
            <w:vMerge w:val="restart"/>
            <w:textDirection w:val="lrTb"/>
            <w:noWrap w:val="false"/>
          </w:tcPr>
          <w:p>
            <w:pPr>
              <w:pStyle w:val="893"/>
              <w:numPr>
                <w:ilvl w:val="0"/>
                <w:numId w:val="1"/>
              </w:numPr>
              <w:ind w:left="0" w:firstLine="340"/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Указ Президента 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Российской Федерации от 07.05.2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024 № 309;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pStyle w:val="893"/>
              <w:numPr>
                <w:ilvl w:val="0"/>
                <w:numId w:val="1"/>
              </w:numPr>
              <w:ind w:left="0" w:firstLine="340"/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паспорт федерального проекта «Экономика замкнутого ци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кла» национального проекта «Экологическое благополучие»;</w:t>
            </w:r>
            <w:r>
              <w:rPr>
                <w:rFonts w:ascii="Liberation Serif" w:hAnsi="Liberation Serif" w:eastAsia="Liberation Serif" w:cs="Liberation Serif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highlight w:val="none"/>
              </w:rPr>
            </w:r>
          </w:p>
          <w:p>
            <w:pPr>
              <w:pStyle w:val="893"/>
              <w:numPr>
                <w:ilvl w:val="0"/>
                <w:numId w:val="1"/>
              </w:numPr>
              <w:ind w:left="0" w:firstLine="340"/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Федеральный закон «Об охране окружающей среды» от 10.01.2002 № 7-ФЗ;</w:t>
            </w:r>
            <w:r>
              <w:rPr>
                <w:rFonts w:ascii="Liberation Serif" w:hAnsi="Liberation Serif" w:eastAsia="Liberation Serif" w:cs="Liberation Serif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highlight w:val="none"/>
              </w:rPr>
            </w:r>
          </w:p>
          <w:p>
            <w:pPr>
              <w:pStyle w:val="893"/>
              <w:numPr>
                <w:ilvl w:val="0"/>
                <w:numId w:val="1"/>
              </w:numPr>
              <w:ind w:left="0" w:firstLine="340"/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Федеральный закон «Об отходах произ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водства и потребления» от 24.06.1998 № 89-ФЗ;</w:t>
            </w:r>
            <w:r>
              <w:rPr>
                <w:rFonts w:ascii="Liberation Serif" w:hAnsi="Liberation Serif" w:eastAsia="Liberation Serif" w:cs="Liberation Serif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highlight w:val="none"/>
              </w:rPr>
            </w:r>
          </w:p>
          <w:p>
            <w:pPr>
              <w:pStyle w:val="893"/>
              <w:numPr>
                <w:ilvl w:val="0"/>
                <w:numId w:val="1"/>
              </w:numPr>
              <w:ind w:left="0" w:firstLine="340"/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Федеральный Закон «О промышленной политике в Российской Федерации» от 31.12.2014 № 488-ФЗ;</w:t>
            </w:r>
            <w:r>
              <w:rPr>
                <w:rFonts w:ascii="Liberation Serif" w:hAnsi="Liberation Serif" w:eastAsia="Liberation Serif" w:cs="Liberation Serif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highlight w:val="none"/>
              </w:rPr>
            </w:r>
          </w:p>
          <w:p>
            <w:pPr>
              <w:pStyle w:val="893"/>
              <w:numPr>
                <w:ilvl w:val="0"/>
                <w:numId w:val="1"/>
              </w:numPr>
              <w:ind w:left="0" w:firstLine="340"/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Распоряжение Правительства Российской Федерации от 25.01.2018 № 84-р «Об утверждении Стратегии развития промышленности 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по обработке, утилизации и обезвреживанию отходов производства и потребления на период до 2030 года»;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93"/>
              <w:numPr>
                <w:ilvl w:val="0"/>
                <w:numId w:val="1"/>
              </w:numPr>
              <w:ind w:left="0" w:firstLine="340"/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Постановление Правительства Новосибирской области от 19.01.2015 г. № 10-п «Об утверждении государственной программы Новосибирской области «Развитие систем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ы обращения с отходами производства и потребления в Новосибирской области».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322"/>
        </w:trPr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Ответственный исполнитель региональной программы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6804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Рабочая группа по разработке региональной программы по переходу на экономику замкнутого цикла утвержденная приказом 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министерства жилищно-коммунального хозяйства и энергетики Новосибирской области от 03.10.2025 № 242-НПА.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322"/>
        </w:trPr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Соисполнители региональной программы 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6804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auto"/>
              <w:rPr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Министерство жилищно-коммунального хозяйства и энергетики Новосибирской области;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both"/>
              <w:shd w:val="clear" w:color="auto" w:fill="auto"/>
              <w:rPr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Министерство строительства Ново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сибирской области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both"/>
              <w:shd w:val="clear" w:color="auto" w:fill="auto"/>
              <w:rPr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Министерство экономического развития Новосибирской области;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both"/>
              <w:shd w:val="clear" w:color="auto" w:fill="auto"/>
              <w:rPr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Министерство природных ресурсов и экологии Новосибирской области;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both"/>
              <w:shd w:val="clear" w:color="auto" w:fill="auto"/>
              <w:rPr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Министерство здравоохранения Новосибирской области;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both"/>
              <w:shd w:val="clear" w:color="auto" w:fill="auto"/>
              <w:rPr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Управление ветеринарии Новосибирской области;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both"/>
              <w:shd w:val="clear" w:color="auto" w:fill="auto"/>
              <w:rPr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Министерство с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ельского хозяйства Новосибирской области;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  <w:p>
            <w:pPr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Министерство промышленности, торговли и развития предпринимательства Новосибирской области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322"/>
        </w:trPr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Цель региональной программы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6804" w:type="dxa"/>
            <w:vMerge w:val="restart"/>
            <w:textDirection w:val="lrTb"/>
            <w:noWrap w:val="false"/>
          </w:tcPr>
          <w:p>
            <w:pPr>
              <w:pStyle w:val="893"/>
              <w:numPr>
                <w:ilvl w:val="0"/>
                <w:numId w:val="7"/>
              </w:numPr>
              <w:ind w:left="360"/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Достижение целевых показателей национальной цели «Экологическое благополучие» в части 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формирования экономики замкнутого цикла, обеспечивающей к 2030 году сортировку 100 процентов объема ежегодно образуемых твердых коммунальных отходов, захоронение не более чем 50 процентов таких отходов и вовлечение в хозяйственный оборот не менее чем 25 пр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оцентов отходов производства и потребления в качестве вторичных ресурсов и сырья; 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pStyle w:val="893"/>
              <w:numPr>
                <w:ilvl w:val="0"/>
                <w:numId w:val="7"/>
              </w:numPr>
              <w:ind w:left="360"/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увеличение доли замещения первичных ресурсов вторичными, рост числа предприятий, вовлекающих вторичные ресурсы в хозяйственный оборот, развитие рынка вторичного сырья и продукции из него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  <w14:ligatures w14:val="none"/>
              </w:rPr>
            </w:r>
          </w:p>
        </w:tc>
      </w:tr>
      <w:tr>
        <w:tblPrEx/>
        <w:trPr>
          <w:trHeight w:val="322"/>
        </w:trPr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Задачи региональной программы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6804" w:type="dxa"/>
            <w:vMerge w:val="restart"/>
            <w:textDirection w:val="lrTb"/>
            <w:noWrap w:val="false"/>
          </w:tcPr>
          <w:p>
            <w:pPr>
              <w:pStyle w:val="893"/>
              <w:numPr>
                <w:ilvl w:val="0"/>
                <w:numId w:val="1"/>
              </w:numPr>
              <w:ind w:left="360"/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Развитие инфраструктуры для сбора, обработки, утилизации, обезвреживания ТКО.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pStyle w:val="893"/>
              <w:numPr>
                <w:ilvl w:val="0"/>
                <w:numId w:val="1"/>
              </w:numPr>
              <w:ind w:left="360"/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Регулирование обращения с отходами, образующимися при строительстве объектов капитального строительства, их реконструкции, капитальном ремонте и сносе.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pStyle w:val="893"/>
              <w:numPr>
                <w:ilvl w:val="0"/>
                <w:numId w:val="1"/>
              </w:numPr>
              <w:ind w:left="360"/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Внедрение информационных систем контроля и учета отходов строительства на стадиях образования, транспортирования и передачи их на утилизацию.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pStyle w:val="893"/>
              <w:numPr>
                <w:ilvl w:val="0"/>
                <w:numId w:val="1"/>
              </w:numPr>
              <w:ind w:left="360"/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Повышение доли отходов строительства, вовлекаемых в хозяйственный оборот.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pStyle w:val="893"/>
              <w:numPr>
                <w:ilvl w:val="0"/>
                <w:numId w:val="1"/>
              </w:numPr>
              <w:ind w:left="360"/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Повышения объемов утилизации золошлаковых отходов от сжигания угля при строительстве инфраструктурных объектов.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pStyle w:val="893"/>
              <w:numPr>
                <w:ilvl w:val="0"/>
                <w:numId w:val="1"/>
              </w:numPr>
              <w:ind w:left="360"/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Повышение уровня экологической культуры населения и популяризация принципов ответственного потребления.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pStyle w:val="893"/>
              <w:numPr>
                <w:ilvl w:val="0"/>
                <w:numId w:val="1"/>
              </w:numPr>
              <w:ind w:left="360"/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С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оздание инфраструктуры и объектов по о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бращению со вторичными ресурсами и вторичным сырьем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.</w:t>
            </w:r>
            <w:r>
              <w:rPr>
                <w:rFonts w:ascii="Liberation Serif" w:hAnsi="Liberation Serif" w:eastAsia="Liberation Serif" w:cs="Liberation Serif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highlight w:val="none"/>
              </w:rPr>
            </w:r>
          </w:p>
        </w:tc>
      </w:tr>
      <w:tr>
        <w:tblPrEx/>
        <w:trPr>
          <w:trHeight w:val="322"/>
        </w:trPr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Целевые показатели региональной программы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6804" w:type="dxa"/>
            <w:vMerge w:val="restart"/>
            <w:textDirection w:val="lrTb"/>
            <w:noWrap w:val="false"/>
          </w:tcPr>
          <w:p>
            <w:pPr>
              <w:pStyle w:val="893"/>
              <w:numPr>
                <w:ilvl w:val="0"/>
                <w:numId w:val="1"/>
              </w:numPr>
              <w:ind w:left="360"/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Доведение доли отходов производства и потребления (за 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исключением вскрышных пород), направляемых на утилизацию, до 25% к 2030 году;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pStyle w:val="893"/>
              <w:numPr>
                <w:ilvl w:val="0"/>
                <w:numId w:val="1"/>
              </w:numPr>
              <w:ind w:left="360"/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Уменьшение доли захораниваемых твердых коммунальных отходов до 51,8%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 до 2030 года.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322"/>
        </w:trPr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Срок реализации региональной программы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6804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2026-2030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  <w:tr>
        <w:tblPrEx/>
        <w:trPr>
          <w:trHeight w:val="322"/>
        </w:trPr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Объемы и источники 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финансирования региональной программы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6804" w:type="dxa"/>
            <w:vMerge w:val="restart"/>
            <w:textDirection w:val="lrTb"/>
            <w:noWrap w:val="false"/>
          </w:tcPr>
          <w:p>
            <w:pPr>
              <w:pStyle w:val="893"/>
              <w:numPr>
                <w:ilvl w:val="0"/>
                <w:numId w:val="7"/>
              </w:numPr>
              <w:ind w:left="360"/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Средства федерального бюджета;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pStyle w:val="893"/>
              <w:numPr>
                <w:ilvl w:val="0"/>
                <w:numId w:val="7"/>
              </w:numPr>
              <w:ind w:left="360"/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Средства регионального бюджета Новосибирской области;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pStyle w:val="893"/>
              <w:numPr>
                <w:ilvl w:val="0"/>
                <w:numId w:val="7"/>
              </w:numPr>
              <w:ind w:left="360"/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Привлечение внебюджетных источников (концессионные соглашения);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  <w14:ligatures w14:val="none"/>
              </w:rPr>
            </w:r>
          </w:p>
          <w:p>
            <w:pPr>
              <w:pStyle w:val="893"/>
              <w:numPr>
                <w:ilvl w:val="0"/>
                <w:numId w:val="7"/>
              </w:numPr>
              <w:ind w:left="360"/>
              <w:jc w:val="both"/>
              <w:shd w:val="clear" w:color="auto" w:fill="auto"/>
              <w:rPr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 Компенсация утилизаторам за утилизированный объем отходов от ППК РЭО.</w:t>
            </w:r>
            <w:r>
              <w:rPr>
                <w:highlight w:val="none"/>
              </w:rPr>
            </w:r>
            <w:r>
              <w:rPr>
                <w:highlight w:val="none"/>
              </w:rPr>
            </w:r>
          </w:p>
        </w:tc>
      </w:tr>
      <w:tr>
        <w:tblPrEx/>
        <w:trPr>
          <w:trHeight w:val="322"/>
        </w:trPr>
        <w:tc>
          <w:tcPr>
            <w:tcW w:w="2551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Ожидаемые результаты реализации региональной программы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  <w:tc>
          <w:tcPr>
            <w:tcW w:w="6804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Создание в Новосибирской области комплексной системы управления переходом к экономике замкнутого цикла.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1. Увеличение доли утилизации 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вторичных ресурсов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 и отходов производства и потребления.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2. Достижение 100% обработки твердых коммунальных отходов.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3. 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Сокращение объемов отходов производства и потребления, направляемых на захоронение.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4. 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Формирование комплексного подхода в области обращения с 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золошлаковыми отходами от сжигания угля 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и и увеличение доли утилизации.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5. 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Увеличение доли утилизации отходов строительства.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  <w:p>
            <w:pPr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6. 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  <w:t xml:space="preserve">Увеличение количества отходов строительства, вовлекаемых в хозяйственный оборот в качестве вторичного сырья.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</w:rPr>
            </w:r>
          </w:p>
        </w:tc>
      </w:tr>
    </w:tbl>
    <w:p>
      <w:pPr>
        <w:shd w:val="clear" w:color="auto" w:fill="auto"/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  <w:br w:type="page" w:clear="all"/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</w:p>
    <w:p>
      <w:pPr>
        <w:jc w:val="center"/>
        <w:shd w:val="clear" w:color="auto" w:fill="auto"/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  <w:t xml:space="preserve">II. Характеристика проблемы и обоснование необходимости решения ее программными методами 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Согласно данным федерального статистического наблюдения по форме № 2-ТП (отходы) за 2024 год, в Новосибирской области образовалось 241 836 381 тонн отходов. Подавляющий о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бъем (98,34%) составляют вскрышные породы в смеси практически неопасные, которые накапливаются на объектах предприятий. На долю всех остальных видов отходов в совокупности приходится менее 1% от общего годового образования (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2 229 437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 тонн). Передано от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других хозяйствующих субъекто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в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2 001 573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тонн отходов.</w:t>
      </w:r>
      <w:r>
        <w:rPr>
          <w:highlight w:val="none"/>
        </w:rPr>
      </w:r>
      <w:r>
        <w:rPr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highlight w:val="none"/>
        </w:rPr>
      </w:pP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В целях формирования приоритетов для перехода к экономике замкнутого цикла в Новосибирской области проведена оценка отходов по массе их образования. В качестве ключевых направлений, на 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которые необходимо направить программные меры по вовлечению во вторичный оборот и снижению доли захоронения, были выбраны отходы, составляющие наибольшую массовую долю в структуре образования отходов производства и потребления (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без учета вскрышных пород).</w:t>
      </w:r>
      <w:r>
        <w:rPr>
          <w:highlight w:val="none"/>
        </w:rPr>
      </w:r>
      <w:r>
        <w:rPr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highlight w:val="none"/>
        </w:rPr>
      </w:pP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В 2024 году, 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согласно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 данным федерального статистического наблюдения по форме № 2-ТП (отходы)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,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 основными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 по массе образованных отходов (свыше 100 тыс. тонн каждый вид) являются:</w:t>
      </w:r>
      <w:r>
        <w:rPr>
          <w:highlight w:val="none"/>
        </w:rPr>
      </w:r>
      <w:r>
        <w:rPr>
          <w:highlight w:val="none"/>
        </w:rPr>
      </w:r>
    </w:p>
    <w:p>
      <w:pPr>
        <w:pStyle w:val="893"/>
        <w:numPr>
          <w:ilvl w:val="0"/>
          <w:numId w:val="3"/>
        </w:numPr>
        <w:ind w:left="0" w:firstLine="709"/>
        <w:jc w:val="both"/>
        <w:spacing w:after="0" w:line="240" w:lineRule="auto"/>
        <w:shd w:val="clear" w:color="auto" w:fill="auto"/>
        <w:rPr>
          <w:highlight w:val="none"/>
        </w:rPr>
      </w:pP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Отходы от энергетической сферы: образов</w:t>
      </w:r>
      <w:r>
        <w:rPr>
          <w:rFonts w:ascii="Liberation Serif" w:hAnsi="Liberation Serif" w:cs="Liberation Serif"/>
          <w:sz w:val="28"/>
          <w:szCs w:val="28"/>
          <w:highlight w:val="none"/>
          <w:shd w:val="clear" w:color="auto" w:fill="auto"/>
        </w:rPr>
        <w:t xml:space="preserve">ан</w:t>
      </w:r>
      <w:r>
        <w:rPr>
          <w:rFonts w:ascii="Liberation Serif" w:hAnsi="Liberation Serif" w:cs="Liberation Serif"/>
          <w:sz w:val="28"/>
          <w:szCs w:val="28"/>
          <w:highlight w:val="none"/>
          <w:shd w:val="clear" w:color="auto" w:fill="auto"/>
        </w:rPr>
        <w:t xml:space="preserve">о </w:t>
      </w:r>
      <w:r>
        <w:rPr>
          <w:rFonts w:ascii="Liberation Serif" w:hAnsi="Liberation Serif" w:cs="Liberation Serif"/>
          <w:sz w:val="28"/>
          <w:szCs w:val="28"/>
          <w:highlight w:val="none"/>
          <w:shd w:val="clear" w:color="auto" w:fill="auto"/>
        </w:rPr>
        <w:t xml:space="preserve">576 444</w:t>
      </w:r>
      <w:r>
        <w:rPr>
          <w:rFonts w:ascii="Liberation Serif" w:hAnsi="Liberation Serif" w:cs="Liberation Serif"/>
          <w:sz w:val="28"/>
          <w:szCs w:val="28"/>
          <w:highlight w:val="none"/>
          <w:shd w:val="clear" w:color="auto" w:fill="auto"/>
        </w:rPr>
        <w:t xml:space="preserve"> 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то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нн 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золошлаковой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 смеси от сжигания уг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лей, размещаемой на золоотвалах, передано от др. хозяйствующих субъект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ов 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10 230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 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тонн. Их совокупная доля в направлении на хранение составляет более 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95%, утилизируется 23 204 тонн, накоплено более 3,5 млн тонн на золоотвалах.</w:t>
      </w:r>
      <w:r>
        <w:rPr>
          <w:highlight w:val="none"/>
        </w:rPr>
      </w:r>
      <w:r>
        <w:rPr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highlight w:val="none"/>
        </w:rPr>
      </w:pP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Золошлаковые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 отходы (далее - ЗШО) могут быть допущены к применению в качестве техногенного грунта и сырья для производства строите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льных материалов, а именно: для устройства оснований и насыпей в дорожном строительстве, производства цемента и бетонов, планировки территорий, обратной засыпки, а также для рекультивации нарушенных земель и полигонов ТКО, при условии подтверждения их безо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пасности и соответствия установленным классам опасности.</w:t>
      </w:r>
      <w:r>
        <w:rPr>
          <w:highlight w:val="none"/>
        </w:rPr>
      </w:r>
      <w:r>
        <w:rPr>
          <w:highlight w:val="none"/>
        </w:rPr>
      </w:r>
    </w:p>
    <w:p>
      <w:pPr>
        <w:pStyle w:val="893"/>
        <w:numPr>
          <w:ilvl w:val="0"/>
          <w:numId w:val="3"/>
        </w:numPr>
        <w:ind w:left="0" w:firstLine="709"/>
        <w:jc w:val="both"/>
        <w:spacing w:after="0" w:line="240" w:lineRule="auto"/>
        <w:shd w:val="clear" w:color="auto" w:fill="auto"/>
        <w:rPr>
          <w:highlight w:val="none"/>
        </w:rPr>
      </w:pP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Твердые коммунальные отходы (далее - ТКО): 882 617,8 тонн. Более 93% данного объема направляется на размещение.</w:t>
      </w:r>
      <w:r>
        <w:rPr>
          <w:highlight w:val="none"/>
        </w:rPr>
      </w:r>
      <w:r>
        <w:rPr>
          <w:highlight w:val="none"/>
        </w:rPr>
      </w:r>
    </w:p>
    <w:p>
      <w:pPr>
        <w:pStyle w:val="893"/>
        <w:numPr>
          <w:ilvl w:val="0"/>
          <w:numId w:val="3"/>
        </w:numPr>
        <w:ind w:left="0" w:firstLine="709"/>
        <w:jc w:val="both"/>
        <w:spacing w:after="0" w:line="240" w:lineRule="auto"/>
        <w:shd w:val="clear" w:color="auto" w:fill="auto"/>
        <w:rPr>
          <w:highlight w:val="none"/>
        </w:rPr>
      </w:pP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Отходы от строительной сферы (строительные отходы): 327 593 тонн образованных и 578 430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 тонн принятых от других субъектов. В структуре этих отходов доминируют грунты, а также несортированный мусор от строительства и сноса (свыше 270 тыс. тонн), значительная часть которых также размещается.</w:t>
      </w:r>
      <w:r>
        <w:rPr>
          <w:highlight w:val="none"/>
        </w:rPr>
      </w:r>
      <w:r>
        <w:rPr>
          <w:highlight w:val="none"/>
        </w:rPr>
      </w:r>
    </w:p>
    <w:p>
      <w:pPr>
        <w:pStyle w:val="893"/>
        <w:numPr>
          <w:ilvl w:val="0"/>
          <w:numId w:val="3"/>
        </w:numPr>
        <w:ind w:left="0" w:firstLine="709"/>
        <w:jc w:val="both"/>
        <w:spacing w:after="0" w:line="240" w:lineRule="auto"/>
        <w:shd w:val="clear" w:color="auto" w:fill="auto"/>
        <w:rPr>
          <w:highlight w:val="none"/>
        </w:rPr>
      </w:pP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Отходы от обогатительной сферы: 1 070 699 тонн образ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ованных и 271 065 тонн принятых. Практически 100% данных отходов направляется на хранение, несмотря на их потенциал в качестве сырья для строительных работ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.</w:t>
      </w:r>
      <w:r>
        <w:rPr>
          <w:highlight w:val="none"/>
        </w:rPr>
      </w:r>
      <w:r>
        <w:rPr>
          <w:highlight w:val="none"/>
        </w:rPr>
      </w:r>
    </w:p>
    <w:p>
      <w:pPr>
        <w:pStyle w:val="893"/>
        <w:numPr>
          <w:ilvl w:val="0"/>
          <w:numId w:val="3"/>
        </w:numPr>
        <w:ind w:left="0" w:firstLine="709"/>
        <w:jc w:val="both"/>
        <w:spacing w:after="0" w:line="240" w:lineRule="auto"/>
        <w:shd w:val="clear" w:color="auto" w:fill="auto"/>
        <w:rPr>
          <w:highlight w:val="none"/>
        </w:rPr>
      </w:pP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Лом черных металлов: 192 402 тонны образованных и 112 368 тонн принятых. В отличие от предыдущих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 групп, данный вид отходов 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практически полностью (100%) вовлекается во вторичный оборот, что демонстрирует эффективность существующей системы сбора и переработки.</w:t>
      </w:r>
      <w:r>
        <w:rPr>
          <w:highlight w:val="none"/>
        </w:rPr>
      </w:r>
      <w:r>
        <w:rPr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rFonts w:ascii="Liberation Serif" w:hAnsi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Для разработки программных мероприятий в рамках экономики замкнутого цикла были выбраны сферы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, формирующие максимальную массу отходов с высоким процентом захоронения: энергетика (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золошлаки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), 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обращение с ТКО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, строительный комплекс и обогащение полезных ископаемых. Реализация мер по их утилизации и переработке позволит существенно сократить объем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ы размещаемых отходов и вовлечь в хозяйственный оборот значительные объемы вторичных материальных ресурсов. </w:t>
      </w: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rFonts w:ascii="Liberation Serif" w:hAnsi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Анализ баланса производственных мощностей по утилизации отходов и их образования (организации предоставлены по региональному кадастру отходов) на те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рритории Новосибирской области указан в таблице № 1.</w:t>
      </w: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rFonts w:ascii="Liberation Serif" w:hAnsi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Подробная информация про отходы производства и потребления, исключая вскрышные, образующиеся на территории НСО указана в таблице № 2.</w:t>
      </w: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highlight w:val="none"/>
        </w:rPr>
      </w:pP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Проблематика обращения с отходами 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и барьеры для формирования 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экономики замкнутого цикла на территории Новосибирской области:</w:t>
      </w:r>
      <w:r>
        <w:rPr>
          <w:highlight w:val="none"/>
        </w:rPr>
      </w:r>
      <w:r>
        <w:rPr>
          <w:highlight w:val="none"/>
        </w:rPr>
      </w:r>
    </w:p>
    <w:p>
      <w:pPr>
        <w:pStyle w:val="893"/>
        <w:numPr>
          <w:ilvl w:val="0"/>
          <w:numId w:val="11"/>
        </w:numPr>
        <w:ind w:left="0" w:firstLine="709"/>
        <w:jc w:val="both"/>
        <w:spacing w:after="0" w:line="240" w:lineRule="auto"/>
        <w:shd w:val="clear" w:color="auto" w:fill="auto"/>
        <w:rPr>
          <w:rFonts w:ascii="Liberation Serif" w:hAnsi="Liberation Serif" w:cs="Liberation Serif"/>
          <w:b/>
          <w:bCs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/>
          <w:b/>
          <w:bCs/>
          <w:sz w:val="28"/>
          <w:szCs w:val="28"/>
          <w:highlight w:val="none"/>
        </w:rPr>
        <w:t xml:space="preserve">Административно-разрешительные барьеры.</w:t>
      </w:r>
      <w:r>
        <w:rPr>
          <w:rFonts w:ascii="Liberation Serif" w:hAnsi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cs="Liberation Serif"/>
          <w:b/>
          <w:bCs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rFonts w:ascii="Liberation Serif" w:hAnsi="Liberation Serif" w:cs="Liberation Seri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Выдвигаемые контрольно-надзорными органами (Росприроднадзор) дополнительные требования к оборудованию и 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технологиям, применяемым объектами по обработке и утилизации отходов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, отсутствующие в первоначальных условиях лицензирования 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(п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оложения подпункта 12 (в редакции Федерального закона от 25.12.2023 г. № 673-ФЗ «Об экологической экспертизе»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). Несоответствие этим требованиям влеч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ет за собой риск приостановки или аннулирования лицензии, создавая правовую неопределенность для инвесторов и действующих операторов по утилизации отходов производства и потребления.</w:t>
      </w: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pStyle w:val="893"/>
        <w:numPr>
          <w:ilvl w:val="0"/>
          <w:numId w:val="11"/>
        </w:numPr>
        <w:ind w:left="0" w:firstLine="709"/>
        <w:jc w:val="both"/>
        <w:spacing w:after="0" w:line="240" w:lineRule="auto"/>
        <w:shd w:val="clear" w:color="auto" w:fill="auto"/>
        <w:rPr>
          <w:rFonts w:ascii="Liberation Serif" w:hAnsi="Liberation Serif" w:cs="Liberation Serif"/>
          <w:b/>
          <w:bCs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/>
          <w:b/>
          <w:bCs/>
          <w:sz w:val="28"/>
          <w:szCs w:val="28"/>
          <w:highlight w:val="none"/>
        </w:rPr>
        <w:t xml:space="preserve">Экономическая нестабильность рынка вторсырья.</w:t>
      </w:r>
      <w:r>
        <w:rPr>
          <w:rFonts w:ascii="Liberation Serif" w:hAnsi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cs="Liberation Serif"/>
          <w:b/>
          <w:bCs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rFonts w:ascii="Liberation Serif" w:hAnsi="Liberation Serif" w:cs="Liberation Seri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Высокая волатильность цен на вторичные материальные ресурсы на внутреннем ры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нке и отсутствие гарантированного долгосрочного спроса со стороны промышленности делают инвестиции в переработку экономически рисковыми и снижают рентабельность соответствующих проектов.</w:t>
      </w: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pStyle w:val="893"/>
        <w:numPr>
          <w:ilvl w:val="0"/>
          <w:numId w:val="11"/>
        </w:numPr>
        <w:ind w:left="0" w:firstLine="709"/>
        <w:jc w:val="both"/>
        <w:spacing w:after="0" w:line="240" w:lineRule="auto"/>
        <w:shd w:val="clear" w:color="auto" w:fill="auto"/>
        <w:rPr>
          <w:rFonts w:ascii="Liberation Serif" w:hAnsi="Liberation Serif" w:cs="Liberation Serif"/>
          <w:b/>
          <w:bCs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/>
          <w:b/>
          <w:bCs/>
          <w:sz w:val="28"/>
          <w:szCs w:val="28"/>
          <w:highlight w:val="none"/>
        </w:rPr>
        <w:t xml:space="preserve">Доминирование захоронения над обработкой.</w:t>
      </w:r>
      <w:r>
        <w:rPr>
          <w:rFonts w:ascii="Liberation Serif" w:hAnsi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cs="Liberation Serif"/>
          <w:b/>
          <w:bCs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rFonts w:ascii="Liberation Serif" w:hAnsi="Liberation Serif" w:cs="Liberation Seri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Высокий уровень захоронения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 твердых коммунальных отходов, превышающий 90%.</w:t>
      </w: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pStyle w:val="893"/>
        <w:numPr>
          <w:ilvl w:val="0"/>
          <w:numId w:val="11"/>
        </w:numPr>
        <w:ind w:left="0" w:firstLine="709"/>
        <w:jc w:val="both"/>
        <w:spacing w:after="0" w:line="240" w:lineRule="auto"/>
        <w:shd w:val="clear" w:color="auto" w:fill="auto"/>
        <w:rPr>
          <w:rFonts w:ascii="Liberation Serif" w:hAnsi="Liberation Serif" w:cs="Liberation Serif"/>
          <w:b/>
          <w:bCs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/>
          <w:b/>
          <w:bCs/>
          <w:sz w:val="28"/>
          <w:szCs w:val="28"/>
          <w:highlight w:val="none"/>
        </w:rPr>
        <w:t xml:space="preserve">Недостаток финансовых механизмов.</w:t>
      </w:r>
      <w:r>
        <w:rPr>
          <w:rFonts w:ascii="Liberation Serif" w:hAnsi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cs="Liberation Serif"/>
          <w:b/>
          <w:bCs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rFonts w:ascii="Liberation Serif" w:hAnsi="Liberation Serif" w:cs="Liberation Seri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Ограниченный доступ к льготному финансированию и 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софинансированию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 для проектов в сфере переработки отходов и создания объектов инфраструктуры ЭЗЦ, особенно для субъектов м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алого и среднего предпринимательства. Высокие капитальные затраты на современное технологическое оборудование. Отсутствие четких федеральных стандартов на продукцию с использованием вторичного сырья, а также экономических стимулов (налоговых, тарифных) для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 ее производителей и потребителей.</w:t>
      </w: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pStyle w:val="893"/>
        <w:numPr>
          <w:ilvl w:val="0"/>
          <w:numId w:val="11"/>
        </w:numPr>
        <w:ind w:left="0" w:firstLine="709"/>
        <w:jc w:val="both"/>
        <w:spacing w:after="0" w:line="240" w:lineRule="auto"/>
        <w:shd w:val="clear" w:color="auto" w:fill="auto"/>
        <w:rPr>
          <w:rFonts w:ascii="Liberation Serif" w:hAnsi="Liberation Serif" w:cs="Liberation Seri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/>
          <w:b/>
          <w:bCs/>
          <w:sz w:val="28"/>
          <w:szCs w:val="28"/>
          <w:highlight w:val="none"/>
        </w:rPr>
        <w:t xml:space="preserve">Низкая вовлеченность бизнеса и населения.</w:t>
      </w: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Недостаточный уровень экологической культуры и мотивации у хозяйствующих субъектов к переходу на модели ЭЗЦ, и же у населения к раздельному накоплению отходов. Очаговая координаци</w:t>
      </w:r>
      <w:r>
        <w:rPr>
          <w:rFonts w:ascii="Liberation Serif" w:hAnsi="Liberation Serif" w:cs="Liberation Serif"/>
          <w:sz w:val="28"/>
          <w:szCs w:val="28"/>
          <w:highlight w:val="none"/>
        </w:rPr>
        <w:t xml:space="preserve">я между участниками цепочки создания стоимости (производители товаров, ритейл, утилизаторы).</w:t>
      </w:r>
      <w:r>
        <w:rPr>
          <w:highlight w:val="none"/>
        </w:rPr>
      </w:r>
      <w:r>
        <w:rPr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rFonts w:ascii="Liberation Serif" w:hAnsi="Liberation Serif" w:cs="Liberation Seri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rFonts w:ascii="Liberation Serif" w:hAnsi="Liberation Serif" w:cs="Liberation Seri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shd w:val="clear" w:color="auto" w:fill="auto"/>
        <w:rPr>
          <w:rFonts w:ascii="Liberation Serif" w:hAnsi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cs="Liberation Serif"/>
          <w:sz w:val="28"/>
          <w:szCs w:val="28"/>
          <w:highlight w:val="none"/>
        </w:rPr>
        <w:br w:type="page" w:clear="all"/>
      </w: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jc w:val="right"/>
        <w:shd w:val="clear" w:color="auto" w:fill="auto"/>
        <w:rPr>
          <w:rFonts w:ascii="Liberation Serif" w:hAnsi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none"/>
        </w:rPr>
        <w:t xml:space="preserve">Таблица № 1</w:t>
      </w: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ind w:firstLine="720"/>
        <w:jc w:val="center"/>
        <w:spacing w:after="0" w:line="240" w:lineRule="auto"/>
        <w:shd w:val="clear" w:color="auto" w:fill="auto"/>
        <w:rPr>
          <w:rFonts w:ascii="Liberation Serif" w:hAnsi="Liberation Serif" w:cs="Liberation Serif"/>
          <w:sz w:val="24"/>
          <w:szCs w:val="24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cs="Liberation Serif"/>
          <w:sz w:val="24"/>
          <w:szCs w:val="24"/>
          <w:highlight w:val="none"/>
        </w:rPr>
        <w:t xml:space="preserve">Анализ баланса производственных мощностей по утилизации отходов и их образования на территории Новосибирской области</w:t>
      </w:r>
      <w:r>
        <w:rPr>
          <w:rFonts w:ascii="Liberation Serif" w:hAnsi="Liberation Serif" w:cs="Liberation Serif"/>
          <w:sz w:val="24"/>
          <w:szCs w:val="24"/>
          <w:highlight w:val="none"/>
        </w:rPr>
      </w:r>
      <w:r>
        <w:rPr>
          <w:rFonts w:ascii="Liberation Serif" w:hAnsi="Liberation Serif" w:cs="Liberation Serif"/>
          <w:sz w:val="24"/>
          <w:szCs w:val="24"/>
          <w:highlight w:val="none"/>
        </w:rPr>
      </w:r>
    </w:p>
    <w:tbl>
      <w:tblPr>
        <w:tblStyle w:val="748"/>
        <w:tblW w:w="0" w:type="auto"/>
        <w:tblLayout w:type="fixed"/>
        <w:tblLook w:val="04A0" w:firstRow="1" w:lastRow="0" w:firstColumn="1" w:lastColumn="0" w:noHBand="0" w:noVBand="1"/>
      </w:tblPr>
      <w:tblGrid>
        <w:gridCol w:w="708"/>
        <w:gridCol w:w="1801"/>
        <w:gridCol w:w="1402"/>
        <w:gridCol w:w="1758"/>
        <w:gridCol w:w="1417"/>
        <w:gridCol w:w="2269"/>
      </w:tblGrid>
      <w:tr>
        <w:tblPrEx/>
        <w:trPr/>
        <w:tc>
          <w:tcPr>
            <w:tcW w:w="708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№ п/п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801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Сфера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образования  отходов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402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Кол-во отходов, тыс. тонн*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758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Наименование организаций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417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Мощность, тыс. тонн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2269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Дефицит/профицит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8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Отходы функционирования ТЭЦ (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золошлаки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)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576,4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cs="Liberation Serif"/>
                <w:highlight w:val="none"/>
              </w:rPr>
              <w:t xml:space="preserve">23,2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W w:w="22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b/>
                <w:bCs/>
                <w:color w:val="ff0000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ff0000"/>
                <w:sz w:val="24"/>
                <w:szCs w:val="24"/>
                <w:highlight w:val="none"/>
              </w:rPr>
              <w:t xml:space="preserve">- </w:t>
            </w:r>
            <w:r>
              <w:rPr>
                <w:rFonts w:ascii="Liberation Serif" w:hAnsi="Liberation Serif" w:eastAsia="Liberation Serif" w:cs="Liberation Serif"/>
                <w:b/>
                <w:bCs/>
                <w:color w:val="ff0000"/>
                <w:sz w:val="24"/>
                <w:szCs w:val="24"/>
                <w:highlight w:val="none"/>
              </w:rPr>
              <w:t xml:space="preserve">553,2</w:t>
            </w:r>
            <w:r>
              <w:rPr>
                <w:rFonts w:ascii="Liberation Serif" w:hAnsi="Liberation Serif" w:cs="Liberation Serif"/>
                <w:b/>
                <w:bCs/>
                <w:color w:val="ff0000"/>
                <w:highlight w:val="none"/>
              </w:rPr>
            </w:r>
            <w:r>
              <w:rPr>
                <w:rFonts w:ascii="Liberation Serif" w:hAnsi="Liberation Serif" w:cs="Liberation Serif"/>
                <w:b/>
                <w:bCs/>
                <w:color w:val="ff0000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8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Строительные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отходы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906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Промышленная площадка ООО «Эко-Сервис» 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250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22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b/>
                <w:bCs/>
                <w:color w:val="ff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ff0000"/>
                <w:sz w:val="24"/>
                <w:szCs w:val="24"/>
                <w:highlight w:val="none"/>
              </w:rPr>
              <w:t xml:space="preserve">- 655</w:t>
            </w:r>
            <w:r>
              <w:rPr>
                <w:rFonts w:ascii="Liberation Serif" w:hAnsi="Liberation Serif" w:cs="Liberation Serif"/>
                <w:b/>
                <w:bCs/>
                <w:color w:val="ff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/>
                <w:bCs/>
                <w:color w:val="ff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801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402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ГК «Сервис»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2269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76"/>
        </w:trPr>
        <w:tc>
          <w:tcPr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t xml:space="preserve">3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8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Отходы металлов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304,7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ООО «ЭКОРЕКС-МЕТАЛЛ» 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12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W w:w="22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b/>
                <w:bCs/>
                <w:color w:val="00b05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b050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Liberation Serif" w:hAnsi="Liberation Serif" w:cs="Liberation Serif"/>
                <w:b/>
                <w:bCs/>
                <w:color w:val="00b05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/>
                <w:bCs/>
                <w:color w:val="00b05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t xml:space="preserve">4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8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Твердые коммунальные отходы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882,6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82,7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22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b/>
                <w:bCs/>
                <w:color w:val="ff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ff0000"/>
                <w:sz w:val="24"/>
                <w:szCs w:val="24"/>
                <w:highlight w:val="none"/>
              </w:rPr>
              <w:t xml:space="preserve">- 799,9</w:t>
            </w:r>
            <w:r>
              <w:rPr>
                <w:rFonts w:ascii="Liberation Serif" w:hAnsi="Liberation Serif" w:cs="Liberation Serif"/>
                <w:b/>
                <w:bCs/>
                <w:color w:val="ff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/>
                <w:bCs/>
                <w:color w:val="ff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t xml:space="preserve">5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8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Отходы бумаги, картона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76,87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ООО «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Экопром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-Н»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20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22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b/>
                <w:bCs/>
                <w:color w:val="ff000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ff0000"/>
                <w:sz w:val="24"/>
                <w:szCs w:val="24"/>
                <w:highlight w:val="none"/>
              </w:rPr>
              <w:t xml:space="preserve">- 8,81</w:t>
            </w:r>
            <w:r>
              <w:rPr>
                <w:rFonts w:ascii="Liberation Serif" w:hAnsi="Liberation Serif" w:cs="Liberation Serif"/>
                <w:b/>
                <w:bCs/>
                <w:color w:val="ff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/>
                <w:bCs/>
                <w:color w:val="ff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53"/>
        </w:trPr>
        <w:tc>
          <w:tcPr>
            <w:tcW w:w="7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8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40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ОО «Гофра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коллектинг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»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12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2269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1524"/>
        </w:trPr>
        <w:tc>
          <w:tcPr>
            <w:tcW w:w="7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8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40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Акционерное общество «Новосибирский картонно-бумажный комбинат» 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36,06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2269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415"/>
        </w:trPr>
        <w:tc>
          <w:tcPr>
            <w:tcW w:w="7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8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40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Итого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t xml:space="preserve">68,06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2269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76"/>
        </w:trPr>
        <w:tc>
          <w:tcPr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t xml:space="preserve">6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8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Лом стекла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82,15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ООО «Сибирское стекло» 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202,8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22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b/>
                <w:bCs/>
                <w:color w:val="00b05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b050"/>
                <w:sz w:val="24"/>
                <w:szCs w:val="24"/>
                <w:highlight w:val="none"/>
              </w:rPr>
              <w:t xml:space="preserve">+ 120,65</w:t>
            </w:r>
            <w:r>
              <w:rPr>
                <w:rFonts w:ascii="Liberation Serif" w:hAnsi="Liberation Serif" w:cs="Liberation Serif"/>
                <w:b/>
                <w:bCs/>
                <w:color w:val="00b05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/>
                <w:bCs/>
                <w:color w:val="00b05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t xml:space="preserve">7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8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Отходы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резиновых изделий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17,93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ООО «Альбион-С»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4,2 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22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b/>
                <w:bCs/>
                <w:color w:val="00b050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b050"/>
                <w:sz w:val="24"/>
                <w:szCs w:val="24"/>
                <w:highlight w:val="none"/>
              </w:rPr>
              <w:t xml:space="preserve">+ 1,87</w:t>
            </w:r>
            <w:r>
              <w:rPr>
                <w:rFonts w:ascii="Liberation Serif" w:hAnsi="Liberation Serif" w:cs="Liberation Serif"/>
                <w:b/>
                <w:bCs/>
                <w:color w:val="00b05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/>
                <w:bCs/>
                <w:color w:val="00b05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53"/>
        </w:trPr>
        <w:tc>
          <w:tcPr>
            <w:tcW w:w="7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8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40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ООО «ВТР» 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13,6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2269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53"/>
        </w:trPr>
        <w:tc>
          <w:tcPr>
            <w:tcW w:w="7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8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40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ООО «Татнефть»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2269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53"/>
        </w:trPr>
        <w:tc>
          <w:tcPr>
            <w:tcW w:w="7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8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40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Итого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19,8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2269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76"/>
        </w:trPr>
        <w:tc>
          <w:tcPr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t xml:space="preserve">8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8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Пищевые отходы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141,9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ООО «Завод по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переработке пивной дробины»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41,2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22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ff0000"/>
                <w:sz w:val="24"/>
                <w:szCs w:val="24"/>
                <w:highlight w:val="none"/>
              </w:rPr>
              <w:t xml:space="preserve">- 69,95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708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801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402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Иные организации по утилизации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дробины пивной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30,75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2269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76"/>
        </w:trPr>
        <w:tc>
          <w:tcPr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t xml:space="preserve">9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80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Полимерные отходы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402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38,2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ООО «ТАЙГЕР-Сибирь»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30,2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226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b/>
                <w:bCs/>
                <w:color w:val="00b05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color w:val="00b050"/>
                <w:sz w:val="24"/>
                <w:szCs w:val="24"/>
                <w:highlight w:val="none"/>
              </w:rPr>
              <w:t xml:space="preserve">+ 16,61</w:t>
            </w:r>
            <w:r>
              <w:rPr>
                <w:rFonts w:ascii="Liberation Serif" w:hAnsi="Liberation Serif" w:cs="Liberation Serif"/>
                <w:b/>
                <w:bCs/>
                <w:color w:val="00b05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/>
                <w:bCs/>
                <w:color w:val="00b05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53"/>
        </w:trPr>
        <w:tc>
          <w:tcPr>
            <w:tcW w:w="7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8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40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ООО «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Пластиндустрия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8,76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2269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53"/>
        </w:trPr>
        <w:tc>
          <w:tcPr>
            <w:tcW w:w="7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8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40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ООО «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РеПласт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» 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2,2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2269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53"/>
        </w:trPr>
        <w:tc>
          <w:tcPr>
            <w:tcW w:w="7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8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40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ООО «Стирол»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3,65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2269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53"/>
        </w:trPr>
        <w:tc>
          <w:tcPr>
            <w:tcW w:w="7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8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40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ООО «ПОЛИМАСТЕР»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10 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2269" w:type="dxa"/>
            <w:vMerge w:val="continue"/>
            <w:textDirection w:val="lrTb"/>
            <w:noWrap w:val="false"/>
          </w:tcPr>
          <w:p>
            <w:r/>
            <w:r/>
          </w:p>
        </w:tc>
      </w:tr>
      <w:tr>
        <w:tblPrEx/>
        <w:trPr>
          <w:trHeight w:val="253"/>
        </w:trPr>
        <w:tc>
          <w:tcPr>
            <w:tcW w:w="7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801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402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W w:w="175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Итого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41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54,81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2269" w:type="dxa"/>
            <w:vMerge w:val="continue"/>
            <w:textDirection w:val="lrTb"/>
            <w:noWrap w:val="false"/>
          </w:tcPr>
          <w:p>
            <w:r/>
            <w:r/>
          </w:p>
        </w:tc>
      </w:tr>
    </w:tbl>
    <w:p>
      <w:pPr>
        <w:ind w:left="0" w:firstLine="0"/>
        <w:jc w:val="both"/>
        <w:spacing w:after="0" w:line="240" w:lineRule="auto"/>
        <w:shd w:val="clear" w:color="auto" w:fill="auto"/>
        <w:rPr>
          <w:rFonts w:ascii="Liberation Serif" w:hAnsi="Liberation Serif" w:cs="Liberation Serif"/>
          <w:sz w:val="24"/>
          <w:szCs w:val="24"/>
          <w:highlight w:val="none"/>
        </w:rPr>
      </w:pPr>
      <w:r>
        <w:rPr>
          <w:rFonts w:ascii="Liberation Serif" w:hAnsi="Liberation Serif" w:cs="Liberation Serif"/>
          <w:sz w:val="24"/>
          <w:szCs w:val="24"/>
          <w:highlight w:val="none"/>
        </w:rPr>
      </w:r>
      <w:r>
        <w:rPr>
          <w:rFonts w:ascii="Liberation Serif" w:hAnsi="Liberation Serif" w:cs="Liberation Serif"/>
          <w:sz w:val="24"/>
          <w:szCs w:val="24"/>
          <w:highlight w:val="none"/>
        </w:rPr>
        <w:t xml:space="preserve">* по данным федерального статистического наблюдения по форме № 2-ТП (отходы) за 2024 год</w:t>
      </w:r>
      <w:r>
        <w:rPr>
          <w:rFonts w:ascii="Liberation Serif" w:hAnsi="Liberation Serif" w:cs="Liberation Serif"/>
          <w:sz w:val="24"/>
          <w:szCs w:val="24"/>
          <w:highlight w:val="none"/>
        </w:rPr>
      </w:r>
      <w:r>
        <w:rPr>
          <w:rFonts w:ascii="Liberation Serif" w:hAnsi="Liberation Serif" w:cs="Liberation Serif"/>
          <w:sz w:val="24"/>
          <w:szCs w:val="24"/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rFonts w:ascii="Liberation Serif" w:hAnsi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rFonts w:ascii="Liberation Serif" w:hAnsi="Liberation Serif" w:cs="Liberation Serif"/>
          <w:sz w:val="28"/>
          <w:szCs w:val="28"/>
          <w:highlight w:val="none"/>
        </w:rPr>
        <w:sectPr>
          <w:footerReference w:type="default" r:id="rId9"/>
          <w:footnotePr/>
          <w:endnotePr/>
          <w:type w:val="nextPage"/>
          <w:pgSz w:w="11906" w:h="16838" w:orient="portrait"/>
          <w:pgMar w:top="1134" w:right="850" w:bottom="1134" w:left="1701" w:header="709" w:footer="709" w:gutter="0"/>
          <w:cols w:num="1" w:sep="0" w:space="708" w:equalWidth="1"/>
          <w:docGrid w:linePitch="360"/>
        </w:sectPr>
      </w:pP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rFonts w:ascii="Liberation Serif" w:hAnsi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jc w:val="right"/>
        <w:shd w:val="clear" w:color="auto" w:fill="auto"/>
        <w:rPr>
          <w:rFonts w:ascii="Liberation Serif" w:hAnsi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none"/>
        </w:rPr>
        <w:t xml:space="preserve">Таблица № 2</w:t>
      </w: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tbl>
      <w:tblPr>
        <w:tblStyle w:val="748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14"/>
        <w:gridCol w:w="1843"/>
        <w:gridCol w:w="2746"/>
        <w:gridCol w:w="1860"/>
        <w:gridCol w:w="1941"/>
        <w:gridCol w:w="1875"/>
        <w:gridCol w:w="1575"/>
        <w:gridCol w:w="1575"/>
      </w:tblGrid>
      <w:tr>
        <w:tblPrEx/>
        <w:trPr>
          <w:jc w:val="center"/>
          <w:trHeight w:val="114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highlight w:val="none"/>
              </w:rPr>
            </w:r>
            <w:bookmarkStart w:id="287" w:name="_Hlk220267849"/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п/п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Группа отходов производства и потребления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4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Отходы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c0c0c"/>
                <w:sz w:val="24"/>
                <w:szCs w:val="24"/>
                <w:highlight w:val="none"/>
              </w:rPr>
              <w:t xml:space="preserve">ФККО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41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Вторичные ресурсы 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Образование отходов за 2024 год, тонн*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Поступление отходов из др.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хоз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 субъектов, тонн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Доля отправленных на хранение/размещение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18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Отходы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функционирования ТЭЦ (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золошлаки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)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4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золошлаковая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 смесь от сжигания углей при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гидроудалении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 золы-уноса и топливных шлаков практически неопасная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6 11 300 02 20 5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4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Сырье для рекультивации ОРО, карьеров 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333 440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158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99,81%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18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4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золошлаковая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 смесь от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сжигания углей практически неопасная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6 11 400 02 20 5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4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Сырье для рекультивации ОРО, карьеров 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232 774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10 072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90,97%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18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  <w:t xml:space="preserve">3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Строительные отходы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4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грунт, образовавшийся при проведении землеройных работ, не загрязненный опасными веществами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8 11 100 01 49 5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4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Сырье для проведение строительных работ, грунтовых работ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271 084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399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2,63%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18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  <w:t xml:space="preserve">4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4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мусор от строительных и ремонтных работ, содержащий материалы, изделия, отходы которых отнесены к V классу опасности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8 90 011 11 72 5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4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Сырье для проведение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строительных работ, грунтовых работ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15 434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182 585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96,55%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18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  <w:t xml:space="preserve">5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4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лом железобетонных изделий, отходы железобетона в кусковой форме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8 22 301 01 21 5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4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Сырье для проведение строительных работ, грунтовых работ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12 628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5 529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34,43%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18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  <w:t xml:space="preserve">6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4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мусор от сноса и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разборки зданий несортированный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8 12 901 01 72 4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4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Сырье для проведение строительных работ, грунтовых работ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12 114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12 972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12,99%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18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  <w:t xml:space="preserve">7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4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лом бетонных изделий, отходы бетона в кусковой форме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8 22 201 01 21 5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4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Сырье для проведение строительных работ,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грунтовых работ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8 344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10 566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89,98%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18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  <w:t xml:space="preserve">8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4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отходы (мусор) от строительных и ремонтных работ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8 90 000 01 72 4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4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Сырье для проведение строительных работ, грунтовых работ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4 321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67 303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95,67%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18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  <w:t xml:space="preserve">9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4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лом строительного кирпича незагрязненный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8 23 101 01 21 5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4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Сырье для проведение строительных работ, грунтовых работ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1 774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35 984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99,80%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18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  <w:t xml:space="preserve">10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4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лом кирпичной кладки от сноса и разборки зданий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8 12 201 01 20 5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4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Сырье для проведение строительных работ, грунтовых работ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1 251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112 750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99,90%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18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  <w:t xml:space="preserve">11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4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отходы грунта при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проведении открытых земляных работ практически неопасные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8 11 111 12 49 5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4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Сырье для проведение строительных работ, грунтовых работ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642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150 343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100,00%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18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12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Отходы металлов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4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лом и отходы, содержащие незагрязненные черные металлы в виде изделий, кусков,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несортированные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4 61 010 01 20 5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4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Лом черных металлов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192 402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112 368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0%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18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13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Твердые коммунальные отходы*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4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Твердые коммунальные отходы*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4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Древесина, резина, полимерные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материалы,бумага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, картон, стекло, металл, пищевые отходы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34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882 617,8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93,8%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18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14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Отходы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бумаги, картона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4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отходы упаковочного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гофрокартона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 незагрязненные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4 05 184 01 60 5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4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Макулатурная масса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25 393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33 788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0,01%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18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15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4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отходы упаковочного картона незагрязненные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4 05 183 01 60 5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4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Макулатурная масса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11 958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29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7,56%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18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16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4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упаковка из бумаги и/или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картона в смеси незагрязненная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4 05 189 11 60 5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4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Макулатурная масса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1 065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3 604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0,00%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18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17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4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отходы упаковочных материалов из бумаги и картона несортированные незагрязненные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4 05 811 01 60 5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4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Макулатурная масса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538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497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52,66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18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  <w:t xml:space="preserve">18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Лом стекла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4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лом изделий из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стекла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4 51 101 00 20 5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4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Стеклобой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1 366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8 438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1,35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18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  <w:t xml:space="preserve">19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4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тара стеклянная незагрязненная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4 51 102 00 20 5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4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Стеклобой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259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41 506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0,00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18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  <w:t xml:space="preserve">20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4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лом стекла и изделий из стекла при сортировке твердых коммунальных отходов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7 41 115 11 20 5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4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Стеклобой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0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30 582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18,62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18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21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Отходы резиновых изделий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4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шины пневматические автомобильные отработанные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9 21 110 01 50 4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4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f1115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f1115"/>
                <w:sz w:val="24"/>
                <w:szCs w:val="24"/>
                <w:highlight w:val="none"/>
              </w:rPr>
              <w:t xml:space="preserve">Резиновая крошка (чипсы, гранулы) </w:t>
            </w:r>
            <w:r>
              <w:rPr>
                <w:rFonts w:ascii="Liberation Serif" w:hAnsi="Liberation Serif" w:cs="Liberation Serif"/>
                <w:color w:val="0f1115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f1115"/>
                <w:sz w:val="24"/>
                <w:szCs w:val="24"/>
                <w:highlight w:val="none"/>
              </w:rPr>
            </w:r>
          </w:p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f1115"/>
                <w:sz w:val="24"/>
                <w:szCs w:val="24"/>
                <w:highlight w:val="none"/>
              </w:rPr>
              <w:t xml:space="preserve">Текстильный и металлический корд 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1 432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14 677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0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18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22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4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покрышки пневматических шин с металлическим кордом отработанные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9 21 130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02 50 4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4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f1115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f1115"/>
                <w:sz w:val="24"/>
                <w:szCs w:val="24"/>
                <w:highlight w:val="none"/>
              </w:rPr>
              <w:t xml:space="preserve">Резиновая крошка (чипсы, гранулы) </w:t>
            </w:r>
            <w:r>
              <w:rPr>
                <w:rFonts w:ascii="Liberation Serif" w:hAnsi="Liberation Serif" w:cs="Liberation Serif"/>
                <w:color w:val="0f1115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f1115"/>
                <w:sz w:val="24"/>
                <w:szCs w:val="24"/>
                <w:highlight w:val="none"/>
              </w:rPr>
            </w:r>
          </w:p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f1115"/>
                <w:sz w:val="24"/>
                <w:szCs w:val="24"/>
                <w:highlight w:val="none"/>
              </w:rPr>
              <w:t xml:space="preserve">Текстильный и металлический корд 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385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1 436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0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18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23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Пищевые отходы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4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дробина солодовая (пивная)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3 01 240 05 29 5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4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Смесь для кормов животных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71 951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0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0,00%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18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24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4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пищевые отходы кухонь и организаций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общественного питания несортированные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7 36 100 01 30 5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4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Сырье для производства RDF-топлива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10 820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41 184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92,74%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18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25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4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фрукты и овощи переработанные, утратившие потребительские свойства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4 01 110 11 39 5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4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Сырье для производства RDF-топлива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10 508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7 532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68,85%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18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26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Полимерные отходы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4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отходы пленки полиэтилена и изделий из нее незагрязненные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4 34 110 02 29 5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4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Вторичные полимеры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5 583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3 660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:lang w:val="en-US"/>
              </w:rPr>
              <w:t xml:space="preserve">0%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18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27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4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смесь полимерных изделий производственного назначения, в том числе из полихлорвинила, отработанных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4 35 991 31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72 4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41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Вторичные полимеры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2 863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0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:lang w:val="en-US"/>
              </w:rPr>
              <w:t xml:space="preserve">0%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18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28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4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отходы полиэтиленовой тары незагрязненной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4 34 110 04 51 5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41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Вторичные полимеры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1 751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8 639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:lang w:val="en-US"/>
              </w:rPr>
              <w:t xml:space="preserve">0%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18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29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4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отходы пленки полипропилена и изделий из нее незагрязненные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4 34 120 02 29 5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41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Вторичные полимеры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1 640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74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:lang w:val="en-US"/>
              </w:rPr>
              <w:t xml:space="preserve">0%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18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30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4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лом и отходы изделий из полипропилена незагрязненные (кроме тары)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4 34 120 03 51 5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41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Вторичные полимеры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1 475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831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44%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18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31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4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лом и отходы изделий из полиэтилентерефталата незагрязненные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4 34 181 01 51 5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41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Вторичные полимеры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1 427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8 596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:lang w:val="en-US"/>
              </w:rPr>
              <w:t xml:space="preserve">0%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18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:lang w:val="en-US"/>
              </w:rPr>
              <w:t xml:space="preserve">32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4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отходы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полипропиленовой тары незагрязненной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4 34 120 04 51 5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41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Вторичные полимеры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577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18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:lang w:val="en-US"/>
              </w:rPr>
              <w:t xml:space="preserve">0%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18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:lang w:val="en-US"/>
              </w:rPr>
              <w:t xml:space="preserve">33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4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лом и отходы изделий из полиэтилена и полиэтилентерефталата в смеси незагрязненные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4 34 991 21 72 5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41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Вторичные полимеры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435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0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:lang w:val="en-US"/>
              </w:rPr>
              <w:t xml:space="preserve">0%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18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:lang w:val="en-US"/>
              </w:rPr>
              <w:t xml:space="preserve">34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4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лом и отходы изделий из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полиэтилена незагрязненные (кроме тары)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4 34 110 03 51 5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41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Вторичные полимеры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282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0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:lang w:val="en-US"/>
              </w:rPr>
              <w:t xml:space="preserve">0%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18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:lang w:val="en-US"/>
              </w:rPr>
              <w:t xml:space="preserve">35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4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лом и отходы изделий из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акрилонитрилбутадиенстирола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 (пластик АБС) незагрязненные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4 34 142 01 51 5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41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Вторичные полимеры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123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10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:lang w:val="en-US"/>
              </w:rPr>
              <w:t xml:space="preserve">0%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18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:lang w:val="en-US"/>
              </w:rPr>
              <w:t xml:space="preserve">36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4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отходы пенопласта на основе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полистирола незагрязненные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4 34 141 01 20 5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41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Вторичные полимеры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110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7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:lang w:val="en-US"/>
              </w:rPr>
              <w:t xml:space="preserve">0%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jc w:val="center"/>
          <w:trHeight w:val="18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14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:lang w:val="en-US"/>
              </w:rPr>
              <w:t xml:space="preserve">37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43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4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смесь упаковок из разнородных полимерных материалов, не содержащих галогены, незагрязненных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6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4 34 991 33 72 5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941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Вторичные полимеры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7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22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110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7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:lang w:val="en-US"/>
              </w:rPr>
              <w:t xml:space="preserve">0%</w:t>
            </w:r>
            <w:bookmarkEnd w:id="287"/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</w:tr>
    </w:tbl>
    <w:p>
      <w:pPr>
        <w:ind w:left="0" w:firstLine="720"/>
        <w:jc w:val="both"/>
        <w:spacing w:after="0" w:line="240" w:lineRule="auto"/>
        <w:shd w:val="clear" w:color="auto" w:fill="auto"/>
        <w:rPr>
          <w:rFonts w:ascii="Liberation Serif" w:hAnsi="Liberation Serif" w:cs="Liberation Serif"/>
          <w:sz w:val="24"/>
          <w:szCs w:val="24"/>
          <w:highlight w:val="none"/>
        </w:rPr>
        <w:suppressLineNumbers w:val="0"/>
      </w:pPr>
      <w:r>
        <w:rPr>
          <w:rFonts w:ascii="Liberation Serif" w:hAnsi="Liberation Serif" w:cs="Liberation Serif"/>
          <w:sz w:val="24"/>
          <w:szCs w:val="24"/>
          <w:highlight w:val="none"/>
        </w:rPr>
      </w:r>
      <w:r>
        <w:rPr>
          <w:rFonts w:ascii="Liberation Serif" w:hAnsi="Liberation Serif" w:cs="Liberation Serif"/>
          <w:sz w:val="24"/>
          <w:szCs w:val="24"/>
          <w:highlight w:val="none"/>
        </w:rPr>
        <w:t xml:space="preserve">* по данным федерального статистического наблюдения по форме № 2-ТП (отходы) за 2024 год</w:t>
      </w:r>
      <w:r>
        <w:rPr>
          <w:rFonts w:ascii="Liberation Serif" w:hAnsi="Liberation Serif" w:cs="Liberation Serif"/>
          <w:sz w:val="24"/>
          <w:szCs w:val="24"/>
          <w:highlight w:val="none"/>
        </w:rPr>
      </w:r>
      <w:r>
        <w:rPr>
          <w:rFonts w:ascii="Liberation Serif" w:hAnsi="Liberation Serif" w:cs="Liberation Serif"/>
          <w:sz w:val="24"/>
          <w:szCs w:val="24"/>
          <w:highlight w:val="none"/>
        </w:rPr>
      </w:r>
    </w:p>
    <w:p>
      <w:pPr>
        <w:jc w:val="both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jc w:val="both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shd w:val="clear" w:color="auto" w:fill="auto"/>
        <w:rPr>
          <w:rFonts w:ascii="Liberation Serif" w:hAnsi="Liberation Serif" w:eastAsia="Liberation Serif" w:cs="Liberation Serif"/>
          <w:sz w:val="28"/>
          <w:szCs w:val="28"/>
          <w:highlight w:val="none"/>
        </w:rPr>
        <w:sectPr>
          <w:footnotePr/>
          <w:endnotePr/>
          <w:type w:val="nextPage"/>
          <w:pgSz w:w="16838" w:h="11906" w:orient="landscape"/>
          <w:pgMar w:top="720" w:right="720" w:bottom="720" w:left="720" w:header="709" w:footer="709" w:gutter="0"/>
          <w:cols w:num="1" w:sep="0" w:space="708" w:equalWidth="1"/>
          <w:docGrid w:linePitch="360"/>
        </w:sect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ind w:firstLine="0"/>
        <w:jc w:val="center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  <w:t xml:space="preserve">III. Сведения о действующих объектах утилизации отходов 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  <w:t xml:space="preserve">Новосибирской области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b/>
          <w:bCs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Информация об объектах утилизации отходов на территории Новосибирской области взята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из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регионального кадастра отходов Новосибирской области и территориальной схемы обращения с отх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одами производства и потребления, в том числе с твердыми коммунальными отходами, Новосибирской области, утвержденной постановлением Правительства Новосибирской области от 26.09.2016 № 292-п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 и указана в таблице № 3. Совокупная производственная мощность указ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анных объектов 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  <w:t xml:space="preserve">составляет 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  <w:t xml:space="preserve">692,47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  <w:t xml:space="preserve"> 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  <w:t xml:space="preserve">тыс. тонн в год.</w:t>
      </w:r>
      <w:r>
        <w:rPr>
          <w:b/>
          <w:bCs/>
          <w:highlight w:val="none"/>
        </w:rPr>
      </w:r>
      <w:r>
        <w:rPr>
          <w:b/>
          <w:bCs/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</w:p>
    <w:p>
      <w:pPr>
        <w:ind w:firstLine="720"/>
        <w:jc w:val="right"/>
        <w:spacing w:after="0" w:line="240" w:lineRule="auto"/>
        <w:shd w:val="clear" w:color="auto" w:fill="auto"/>
        <w:rPr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Таблица № 3</w:t>
      </w:r>
      <w:r>
        <w:rPr>
          <w:highlight w:val="none"/>
        </w:rPr>
      </w:r>
      <w:r>
        <w:rPr>
          <w:highlight w:val="none"/>
        </w:rPr>
      </w:r>
    </w:p>
    <w:tbl>
      <w:tblPr>
        <w:tblStyle w:val="748"/>
        <w:tblW w:w="0" w:type="auto"/>
        <w:tblLayout w:type="fixed"/>
        <w:tblLook w:val="04A0" w:firstRow="1" w:lastRow="0" w:firstColumn="1" w:lastColumn="0" w:noHBand="0" w:noVBand="1"/>
      </w:tblPr>
      <w:tblGrid>
        <w:gridCol w:w="708"/>
        <w:gridCol w:w="2704"/>
        <w:gridCol w:w="1884"/>
        <w:gridCol w:w="2886"/>
        <w:gridCol w:w="1173"/>
      </w:tblGrid>
      <w:tr>
        <w:tblPrEx/>
        <w:trPr>
          <w:trHeight w:val="94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№ п/п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Наименование объекта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Вид деятельности, осуществляемый на объекте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Виды отходов согласно федеральному классификационному каталогу отходов и группы однородных отходов, принимаемые на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объекте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Мощность объекта, тыс. тонн/год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1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ООО «ТАЙГЕР-Сибирь»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Утилизация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тара стеклянная незагрязненная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30,2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6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тара деревянная, утратившая потребительские свойства, незагрязненная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6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отходы пленки полиэтилена и изделий из нее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незагрязненные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6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отходы упаковки из комбинированного материала на основе бумаги и/или картона, полимеров и алюминиевой фольги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6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лом и отходы изделий из полиэтилентерефталата незагрязненные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43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ООО «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Экопром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-Н»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Утилизация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отходы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упаковочного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гофрокартона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 незагрязненные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20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55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упаковка из бумаги и/или картона в смеси незагрязненная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63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ООО «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Пластиндустрия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»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Утилизация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лом и отходы изделий из полиэтилентерефталата незагрязненные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8,76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63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отходы пленки полиэтилена и изделий из нее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незагрязненные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40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отходы полиэтиленовой тары незагрязненной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31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4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ООО «Гофра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коллектинг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»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Утилизация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упаковка из бумаги и/или картона в смеси незагрязненная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12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39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отходы упаковочного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гофрокартона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 незагрязненные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63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отходы потребления обойной,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пачечной,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br/>
              <w:t xml:space="preserve">шпульной и других видов бумаги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183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5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АО «Новосибирский картонно-бумажный комбинат»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Утилизация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отходы упаковочного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гофрокартона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 незагрязненные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36,06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60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6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ООО «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РеПласт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»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Утилизация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отходы пенопласта на основе полистирола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незагрязненные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2,2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66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7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ООО «Стирол»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Утилизация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отходы пенопласта на основе полистирола незагрязненные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3,65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136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8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ООО «Сибирское стекло»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Утилизация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Бой стекла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202,8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66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9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ООО «АКРОН СКРАП НОВОСИБИРСК»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Утилизация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Компьютеры и периферийное оборудование, офисное оборудование 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5,1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66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Мониторы, приемники телевизионные 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66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Оборудование коммуникационное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66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Техника бытовая электронная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66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Приборы оптические и фотографическое оборудование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66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Приборы бытовые электрические 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66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Приборы бытовые неэлектрические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66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Оборудование промышленное холодильное и вентиляционное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10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ООО «Альбион-С»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Утилизация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Шины пневматические автомобильные отработанные 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4,2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600"/>
        </w:trPr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Покрышки пневматических шин с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металлическим кордом отработанные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600"/>
        </w:trPr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Покрышки пневматических шин с тканевым кордом отработанные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300"/>
        </w:trPr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Камеры пневматических шин автомобильных отработанные 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none" w:color="000000" w:sz="4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600"/>
        </w:trPr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Отходы резинотехнических изделий, загрязненные нефтепродуктами (содержание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нефтепродуктов менее 15%)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non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Merge w:val="continue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blPrEx/>
        <w:trPr>
          <w:trHeight w:val="121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11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ООО «ПОЛИМАСТЕР»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Утилизация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10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108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12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ООО «ЭХОВТОРРЕСУРС»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Утилизация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f1115"/>
                <w:sz w:val="24"/>
                <w:szCs w:val="24"/>
                <w:highlight w:val="none"/>
              </w:rPr>
              <w:t xml:space="preserve">отработанные минеральные и синтетические масла различного назначения (гидравлические, индустриальные, компрессорные, моторные, </w:t>
            </w:r>
            <w:r>
              <w:rPr>
                <w:rFonts w:ascii="Liberation Serif" w:hAnsi="Liberation Serif" w:eastAsia="Liberation Serif" w:cs="Liberation Serif"/>
                <w:color w:val="0f1115"/>
                <w:sz w:val="24"/>
                <w:szCs w:val="24"/>
                <w:highlight w:val="none"/>
              </w:rPr>
              <w:t xml:space="preserve">трансмиссионные, трансформаторные и прочие), в том числе не содержащие галогены.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20,7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135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13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ООО «ВТР»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Утилизация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Шины пневматические автомобильные отработанные 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13,6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135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14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ООО «Татнефть»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Утилизация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Шины пневматические автомобильные отработанные 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132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15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ООО «ВТОРИНДУСТРИЯ»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Утилизация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11,7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133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16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ООО «СОФТИ»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Утилизация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макулатура, бумага 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утилизация отходов V класса опасности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5,1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135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17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ООО «Сибирская ртутная компания»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Утилизация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лампы ртутные, ртутно-кварцевые, люминесцентные, утратившие потребительские свойства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0,2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135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18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ООО «ЭКОРЕКС-МЕТАЛЛ»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Утилизация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 отходы металлургических и металлообрабатывающих производств, включая шлаки, пыль газоочистки, окалину, лом чёрных и алюминиевых металлов (включая загрязнённый), а также отработанный формовочный песок.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12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135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19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Промышленная площадка ООО «Эко-Сервис»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Утилизация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строительные отходы (бетон, кирпич и т.п.)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250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135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20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Промышленная площадка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ООО ГК «Сервис»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Утилизация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 Отходы древесно-кустарниковой растительности, веток, стволов деревьев и прочих древесных отходов.</w:t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135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08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21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70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ООО «Завод по переработке пивной дробины»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8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Утилизация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88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дробина солодовая (пивная)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3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41,2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</w:tr>
    </w:tbl>
    <w:p>
      <w:pPr>
        <w:ind w:firstLine="720"/>
        <w:jc w:val="both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shd w:val="clear" w:color="auto" w:fill="auto"/>
        <w:rPr>
          <w:rFonts w:ascii="Liberation Serif" w:hAnsi="Liberation Serif" w:eastAsia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br w:type="page" w:clear="all"/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ind w:firstLine="0"/>
        <w:jc w:val="center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  <w:t xml:space="preserve">VI. Обоснование постановки цели, задачи и целевых показателей региональной программы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В соответствии с Указом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Президента Российской Федерации от 07.05.2024 г. № 309 «О национальных целях развития Российской Федерации на период до 2030 года и на перспективу до 2036 года» (далее Указ Президента № 309), цели в части обращения с ТКО и отходами производства и потреблен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ия включают:</w:t>
      </w:r>
      <w:r>
        <w:rPr>
          <w:highlight w:val="none"/>
        </w:rPr>
      </w:r>
      <w:r>
        <w:rPr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- К 2030 году обеспечить сортировку 100% объёма ежегодно образуемых ТКО захоронение не более чем 50% таких отходов – создание комплексных объектов обращения с ТКО, который может включать в себя участок обработки, утилизации, обезвреживания, ра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змещения ТКО.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- Доведение доли отходов производства и потребления отправляемых на утилизацию (за исключением вскрышных пород) до 25% от образуемых до 2030 года.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Целевые показатели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 по обращению с ЗШО в соответствии с постановлением Правительства Новосибирской области от 26.03.2025 г. № 124-п «Об утверждении Региональной программы повышения объемов утилизации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золошлаковых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 отходов V класса опасности» приведены в таблице № 4.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ind w:firstLine="720"/>
        <w:jc w:val="right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none"/>
        </w:rPr>
        <w:t xml:space="preserve">Таблица </w:t>
      </w:r>
      <w:r>
        <w:rPr>
          <w:rFonts w:ascii="Liberation Serif" w:hAnsi="Liberation Serif" w:eastAsia="Liberation Serif" w:cs="Liberation Serif"/>
          <w:sz w:val="24"/>
          <w:szCs w:val="24"/>
          <w:highlight w:val="none"/>
        </w:rPr>
        <w:t xml:space="preserve">№ 4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tbl>
      <w:tblPr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000000" w:sz="0" w:space="0"/>
          <w:insideV w:val="none" w:color="000000" w:sz="0" w:space="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52"/>
        <w:gridCol w:w="1294"/>
        <w:gridCol w:w="588"/>
        <w:gridCol w:w="588"/>
        <w:gridCol w:w="588"/>
        <w:gridCol w:w="588"/>
        <w:gridCol w:w="588"/>
        <w:gridCol w:w="1592"/>
      </w:tblGrid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2" w:type="dxa"/>
            <w:vAlign w:val="center"/>
            <w:vMerge w:val="restart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Значение целевого показателя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4" w:type="dxa"/>
            <w:vAlign w:val="center"/>
            <w:vMerge w:val="restart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Единица измерения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940" w:type="dxa"/>
            <w:vAlign w:val="center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sz w:val="20"/>
                <w:szCs w:val="20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Период</w:t>
            </w:r>
            <w:r>
              <w:rPr>
                <w:rFonts w:ascii="Liberation Serif" w:hAnsi="Liberation Serif" w:cs="Liberation Serif"/>
                <w:sz w:val="20"/>
                <w:szCs w:val="20"/>
                <w:highlight w:val="none"/>
              </w:rPr>
            </w:r>
            <w:r>
              <w:rPr>
                <w:rFonts w:ascii="Liberation Serif" w:hAnsi="Liberation Serif" w:cs="Liberation Serif"/>
                <w:sz w:val="20"/>
                <w:szCs w:val="20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2" w:type="dxa"/>
            <w:vAlign w:val="center"/>
            <w:vMerge w:val="restart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Примечание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2" w:type="dxa"/>
            <w:vMerge w:val="continue"/>
            <w:textDirection w:val="lrTb"/>
            <w:noWrap w:val="false"/>
          </w:tcPr>
          <w:p>
            <w:pPr>
              <w:pStyle w:val="894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4" w:type="dxa"/>
            <w:vMerge w:val="continue"/>
            <w:textDirection w:val="lrTb"/>
            <w:noWrap w:val="false"/>
          </w:tcPr>
          <w:p>
            <w:pPr>
              <w:pStyle w:val="894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" w:type="dxa"/>
            <w:vAlign w:val="center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2026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год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" w:type="dxa"/>
            <w:vAlign w:val="center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2027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год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" w:type="dxa"/>
            <w:vAlign w:val="center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2028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год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" w:type="dxa"/>
            <w:vAlign w:val="center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2029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год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" w:type="dxa"/>
            <w:vAlign w:val="center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2030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год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2" w:type="dxa"/>
            <w:vMerge w:val="continue"/>
            <w:textDirection w:val="lrTb"/>
            <w:noWrap w:val="false"/>
          </w:tcPr>
          <w:p>
            <w:pPr>
              <w:pStyle w:val="894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2" w:type="dxa"/>
            <w:vAlign w:val="center"/>
            <w:textDirection w:val="lrTb"/>
            <w:noWrap w:val="false"/>
          </w:tcPr>
          <w:p>
            <w:pPr>
              <w:pStyle w:val="895"/>
              <w:ind w:left="57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Образование ЗШО, всего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4" w:type="dxa"/>
            <w:vAlign w:val="center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тыс. м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" w:type="dxa"/>
            <w:vAlign w:val="center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618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" w:type="dxa"/>
            <w:vAlign w:val="center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618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" w:type="dxa"/>
            <w:vAlign w:val="center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618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" w:type="dxa"/>
            <w:vAlign w:val="center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618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" w:type="dxa"/>
            <w:vAlign w:val="center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618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2" w:type="dxa"/>
            <w:vAlign w:val="center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2" w:type="dxa"/>
            <w:vAlign w:val="center"/>
            <w:textDirection w:val="lrTb"/>
            <w:noWrap w:val="false"/>
          </w:tcPr>
          <w:p>
            <w:pPr>
              <w:pStyle w:val="895"/>
              <w:ind w:left="57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Реализация золы-уноса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4" w:type="dxa"/>
            <w:vAlign w:val="center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тыс. тонн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" w:type="dxa"/>
            <w:vAlign w:val="center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99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" w:type="dxa"/>
            <w:vAlign w:val="center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100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" w:type="dxa"/>
            <w:vAlign w:val="center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101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" w:type="dxa"/>
            <w:vAlign w:val="center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102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" w:type="dxa"/>
            <w:vAlign w:val="center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103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2" w:type="dxa"/>
            <w:vAlign w:val="center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2" w:type="dxa"/>
            <w:vAlign w:val="center"/>
            <w:textDirection w:val="lrTb"/>
            <w:noWrap w:val="false"/>
          </w:tcPr>
          <w:p>
            <w:pPr>
              <w:pStyle w:val="895"/>
              <w:ind w:left="57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Количество ЗШО, </w:t>
            </w: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использованных в рамках реализации существующих проектов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4" w:type="dxa"/>
            <w:vAlign w:val="center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тыс. м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" w:type="dxa"/>
            <w:vAlign w:val="center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633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" w:type="dxa"/>
            <w:vAlign w:val="center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458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" w:type="dxa"/>
            <w:vAlign w:val="center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158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" w:type="dxa"/>
            <w:vAlign w:val="center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158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" w:type="dxa"/>
            <w:vAlign w:val="center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158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2" w:type="dxa"/>
            <w:vAlign w:val="center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2" w:type="dxa"/>
            <w:vAlign w:val="center"/>
            <w:textDirection w:val="lrTb"/>
            <w:noWrap w:val="false"/>
          </w:tcPr>
          <w:p>
            <w:pPr>
              <w:pStyle w:val="895"/>
              <w:ind w:left="57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Вовлечение ЗШО в новые проекты, в том числе в рамках реализации региональной программы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4" w:type="dxa"/>
            <w:vAlign w:val="center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тыс. м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" w:type="dxa"/>
            <w:vAlign w:val="center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-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" w:type="dxa"/>
            <w:vAlign w:val="center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333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" w:type="dxa"/>
            <w:vAlign w:val="center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332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" w:type="dxa"/>
            <w:vAlign w:val="center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331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" w:type="dxa"/>
            <w:vAlign w:val="center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357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2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Проекты рекультивации, дорожного </w:t>
            </w: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строительства, вертикальной планировки, производства строительных материалов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</w:tr>
      <w:tr>
        <w:tblPrEx/>
        <w:trPr>
          <w:jc w:val="center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52" w:type="dxa"/>
            <w:vAlign w:val="center"/>
            <w:textDirection w:val="lrTb"/>
            <w:noWrap w:val="false"/>
          </w:tcPr>
          <w:p>
            <w:pPr>
              <w:pStyle w:val="895"/>
              <w:ind w:left="57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Доля утилизированных и обезвреженных ЗШО в общем объеме ежегодно образованных </w:t>
            </w: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тепловыми электростанциями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294" w:type="dxa"/>
            <w:vAlign w:val="center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%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" w:type="dxa"/>
            <w:vAlign w:val="center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120%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" w:type="dxa"/>
            <w:vAlign w:val="center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134%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" w:type="dxa"/>
            <w:vAlign w:val="center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98%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" w:type="dxa"/>
            <w:vAlign w:val="center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98%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88" w:type="dxa"/>
            <w:vAlign w:val="center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98%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592" w:type="dxa"/>
            <w:vAlign w:val="center"/>
            <w:textDirection w:val="lrTb"/>
            <w:noWrap w:val="false"/>
          </w:tcPr>
          <w:p>
            <w:pPr>
              <w:pStyle w:val="895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X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</w:tr>
    </w:tbl>
    <w:p>
      <w:pPr>
        <w:ind w:firstLine="720"/>
        <w:jc w:val="both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Целевые показатели по обработке (в том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числе извлечению из твердых коммунальных отходов вторичных ресурсов), обезвреживанию, утилизации и размещению ТКО Новосибирской области приведены в таблице № 6.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jc w:val="right"/>
        <w:shd w:val="clear" w:color="auto" w:fill="auto"/>
        <w:rPr>
          <w:rFonts w:ascii="Liberation Serif" w:hAnsi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none"/>
        </w:rPr>
        <w:t xml:space="preserve">Таблица № 6</w:t>
      </w:r>
      <w:r>
        <w:rPr>
          <w:rFonts w:ascii="Liberation Serif" w:hAnsi="Liberation Serif" w:cs="Liberation Serif"/>
          <w:sz w:val="28"/>
          <w:szCs w:val="28"/>
          <w:highlight w:val="none"/>
        </w:rPr>
      </w:r>
      <w:r>
        <w:rPr>
          <w:rFonts w:ascii="Liberation Serif" w:hAnsi="Liberation Serif" w:cs="Liberation Serif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tbl>
      <w:tblPr>
        <w:tblStyle w:val="748"/>
        <w:tblW w:w="9082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5"/>
        <w:gridCol w:w="2268"/>
        <w:gridCol w:w="2268"/>
        <w:gridCol w:w="2268"/>
        <w:gridCol w:w="1512"/>
      </w:tblGrid>
      <w:tr>
        <w:tblPrEx/>
        <w:trPr>
          <w:trHeight w:val="282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65" w:type="dxa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Период, год</w:t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Доля обрабатываемых ТКО в общей массе образованных ТКО, %</w:t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Доля направленных на утилизацию отходов, выделенных в результате раздельного накопления и обработки ТКО, в общей массе образованных ТКО, %</w:t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Доля направленных на утилизацию и/или обезвреживание отходов, в том числе выделенных в результате раздельного накопления и /или обработки ТКО в общей массе образованных ТКО, %</w:t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12" w:type="dxa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Доля захораниваемых ТКО в общей массе образованных ТКО, %</w:t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</w:p>
        </w:tc>
      </w:tr>
      <w:tr>
        <w:tblPrEx/>
        <w:trPr>
          <w:trHeight w:val="47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6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tabs>
                <w:tab w:val="left" w:pos="142" w:leader="none"/>
              </w:tabs>
              <w:rPr>
                <w:rFonts w:ascii="Liberation Serif" w:hAnsi="Liberation Serif" w:cs="Liberation Serif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2026</w:t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15,3</w:t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  <w14:ligatures w14:val="none"/>
              </w:rPr>
            </w:r>
            <w:r>
              <w:rPr>
                <w:rFonts w:ascii="Liberation Serif" w:hAnsi="Liberation Serif" w:eastAsia="Liberation Serif" w:cs="Liberation Serif"/>
                <w:sz w:val="28"/>
                <w:szCs w:val="28"/>
                <w:highlight w:val="none"/>
                <w14:ligatures w14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2,4</w:t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2,4</w:t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12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97,6</w:t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</w:p>
        </w:tc>
      </w:tr>
      <w:tr>
        <w:tblPrEx/>
        <w:trPr>
          <w:trHeight w:val="47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6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tabs>
                <w:tab w:val="left" w:pos="142" w:leader="none"/>
              </w:tabs>
              <w:rPr>
                <w:rFonts w:ascii="Liberation Serif" w:hAnsi="Liberation Serif" w:cs="Liberation Serif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2027</w:t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15,3</w:t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2,4</w:t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2,4</w:t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12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97,6</w:t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</w:p>
        </w:tc>
      </w:tr>
      <w:tr>
        <w:tblPrEx/>
        <w:trPr>
          <w:trHeight w:val="47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6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tabs>
                <w:tab w:val="left" w:pos="142" w:leader="none"/>
              </w:tabs>
              <w:rPr>
                <w:rFonts w:ascii="Liberation Serif" w:hAnsi="Liberation Serif" w:cs="Liberation Serif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2028</w:t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17,0</w:t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2,6</w:t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2,6</w:t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12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97,4</w:t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</w:p>
        </w:tc>
      </w:tr>
      <w:tr>
        <w:tblPrEx/>
        <w:trPr>
          <w:trHeight w:val="47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6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tabs>
                <w:tab w:val="left" w:pos="142" w:leader="none"/>
              </w:tabs>
              <w:rPr>
                <w:rFonts w:ascii="Liberation Serif" w:hAnsi="Liberation Serif" w:cs="Liberation Serif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2029</w:t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66,5</w:t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10,0</w:t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25,4</w:t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12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74,6</w:t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</w:p>
        </w:tc>
      </w:tr>
      <w:tr>
        <w:tblPrEx/>
        <w:trPr>
          <w:trHeight w:val="474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765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tabs>
                <w:tab w:val="left" w:pos="142" w:leader="none"/>
              </w:tabs>
              <w:rPr>
                <w:rFonts w:ascii="Liberation Serif" w:hAnsi="Liberation Serif" w:cs="Liberation Serif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2030</w:t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100,0</w:t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15,0</w:t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2268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48,2</w:t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12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51,8</w:t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Cs w:val="24"/>
                <w:highlight w:val="none"/>
              </w:rPr>
            </w:r>
          </w:p>
        </w:tc>
      </w:tr>
    </w:tbl>
    <w:p>
      <w:pPr>
        <w:ind w:firstLine="720"/>
        <w:jc w:val="both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ind w:firstLine="720"/>
        <w:jc w:val="center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9" w:footer="709" w:gutter="0"/>
          <w:cols w:num="1" w:sep="0" w:space="708" w:equalWidth="1"/>
          <w:docGrid w:linePitch="360"/>
        </w:sect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</w:p>
    <w:p>
      <w:pPr>
        <w:ind w:firstLine="720"/>
        <w:jc w:val="center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</w:p>
    <w:p>
      <w:pPr>
        <w:ind w:firstLine="0"/>
        <w:jc w:val="center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  <w:t xml:space="preserve">V. Срок реализации региональной программы 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</w:p>
    <w:p>
      <w:pPr>
        <w:ind w:firstLine="720"/>
        <w:jc w:val="center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</w:p>
    <w:p>
      <w:pPr>
        <w:ind w:firstLine="720"/>
        <w:jc w:val="both"/>
        <w:shd w:val="clear" w:color="auto" w:fill="auto"/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В соответствии с Указом Президента № 309 установлены целевые показатели и задачи по формированию экономики замкнутого цикла, которые должны быть достигнуты к 2030 году. Сроки реализации региональной программы по переходу Новосибирской области на экономику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замкнутого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цикла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2026-2030 годы.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</w:p>
    <w:p>
      <w:pPr>
        <w:ind w:firstLine="720"/>
        <w:jc w:val="center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</w:p>
    <w:p>
      <w:pPr>
        <w:shd w:val="clear" w:color="auto" w:fill="auto"/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  <w:sectPr>
          <w:footnotePr/>
          <w:endnotePr/>
          <w:type w:val="nextPage"/>
          <w:pgSz w:w="11906" w:h="16838" w:orient="portrait"/>
          <w:pgMar w:top="1134" w:right="850" w:bottom="1134" w:left="1701" w:header="709" w:footer="709" w:gutter="0"/>
          <w:cols w:num="1" w:sep="0" w:space="708" w:equalWidth="1"/>
          <w:docGrid w:linePitch="360"/>
        </w:sect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</w:p>
    <w:p>
      <w:pPr>
        <w:ind w:firstLine="0"/>
        <w:jc w:val="center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  <w:t xml:space="preserve">VII. 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  <w:t xml:space="preserve">Перечень и описание программных мероприятий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</w:p>
    <w:p>
      <w:pPr>
        <w:ind w:firstLine="720"/>
        <w:jc w:val="center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</w:p>
    <w:tbl>
      <w:tblPr>
        <w:tblStyle w:val="748"/>
        <w:tblW w:w="0" w:type="auto"/>
        <w:tblLayout w:type="fixed"/>
        <w:tblLook w:val="04A0" w:firstRow="1" w:lastRow="0" w:firstColumn="1" w:lastColumn="0" w:noHBand="0" w:noVBand="1"/>
      </w:tblPr>
      <w:tblGrid>
        <w:gridCol w:w="709"/>
        <w:gridCol w:w="4677"/>
        <w:gridCol w:w="1984"/>
        <w:gridCol w:w="4961"/>
        <w:gridCol w:w="2239"/>
      </w:tblGrid>
      <w:tr>
        <w:tblPrEx/>
        <w:trPr/>
        <w:tc>
          <w:tcPr>
            <w:tcW w:w="7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№ п/п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467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Наименование мероприятия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Год реализации мероприятий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49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Ожидаемый результат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23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Ответственный исполнитель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70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4677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3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496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4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23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5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5"/>
            <w:tcW w:w="14570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i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/>
                <w:bCs/>
                <w:i w:val="0"/>
                <w:iCs w:val="0"/>
                <w:sz w:val="24"/>
                <w:szCs w:val="24"/>
                <w:highlight w:val="none"/>
              </w:rPr>
              <w:t xml:space="preserve">Цель программы: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i w:val="0"/>
                <w:iCs w:val="0"/>
                <w:sz w:val="24"/>
                <w:szCs w:val="24"/>
                <w:highlight w:val="none"/>
              </w:rPr>
              <w:t xml:space="preserve">о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i w:val="0"/>
                <w:iCs w:val="0"/>
                <w:sz w:val="24"/>
                <w:szCs w:val="24"/>
                <w:highlight w:val="none"/>
              </w:rPr>
              <w:t xml:space="preserve">беспечение к 2030 году сортировку 100% объема ежегодно образуемых твердых коммунальных отходов, захоронение не более чем 50% таких отходов и вовлечение в хозяйственный оборот не менее чем 25% отходов производства и потребления в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i w:val="0"/>
                <w:iCs w:val="0"/>
                <w:sz w:val="24"/>
                <w:szCs w:val="24"/>
                <w:highlight w:val="none"/>
              </w:rPr>
              <w:t xml:space="preserve">качестве вторичных ресурсов и сырья и увеличение доли замещения первичных ресурсов вторичными, рост числа предприятий, вовлекающих вторичные ресурсы в хозяйственный оборот, развитие рынка вторичного сырья и продукции из него.</w:t>
            </w:r>
            <w:r>
              <w:rPr>
                <w:rFonts w:ascii="Liberation Serif" w:hAnsi="Liberation Serif" w:cs="Liberation Serif"/>
                <w:b w:val="0"/>
                <w:bCs w:val="0"/>
                <w:i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i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5"/>
            <w:tcW w:w="1457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Задача № 1.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Развитие инфраструктуры для сбора, обработки, утилизации, обезвреживания ТКО.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Межрайонный комплекс – полигон с мусоросортировочной линией в Куйбышевском районе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3 кв. 2028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4961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Создание мощностей (тыс. т/год):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Обработка - 60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Утилизация - 12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Утилизация RDF - 0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Размещение - 30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23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МЖКХиЭ НСО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КПО «Левобережный»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4 кв. 2028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4961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Создание мощностей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(тыс. т/год):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Обработка - 300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Утилизация - 90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Утилизация RDF - 45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Размещение - 120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23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МЖКХиЭ НСО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3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КПО «Правобережный»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 кв. 2029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4961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Создание мощностей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(тыс. т/год):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Обработка - 330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Утилизация - 99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Утилизация RDF - 49,5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Размещение - 130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23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МЖКХиЭ НСО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4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Межрайонный комплекс – полигон с мусоросортировочной линией в Татарском муниципальном округе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4. кв 2028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4961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Создание мощностей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(тыс. т/год):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Обработка - 40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Утилизация - 8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Утилизация RDF - 0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Размещение - 20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23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МЖКХиЭ НСО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5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Комплексный районный полигон с мусоросортировочной линией в Тогучинском районе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4 кв. 2028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4961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Создание мощностей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(тыс. т/год):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Обработка - 15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Утилизация - 3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Утилизация RDF - 0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Размещение - 7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23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МЖКХиЭ НСО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6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Комплексный районный полигон с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мусоросортировочной линией в Искитимском районе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3 кв. 2029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4961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Создание мощностей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(тыс. т/год):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Обработка - 100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Утилизация - 35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Утилизация RDF - 0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Размещение - 50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23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МЖКХиЭ НСО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7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Комплексный районный полигон с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мусоросортировочной линией в Каргатском районе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1 кв. 2029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W w:w="4961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Создание мощностей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(тыс. т/год):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Обработка - 18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Утилизация - 0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Обезвреживание - 3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Размещение - 13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23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МЖКХиЭ НСО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8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Комплексный районный полигон с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мусоросортировочной линией в Краснозерском районе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3 кв. 2029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W w:w="4961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Создание мощностей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(тыс. т/год):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Обработка - 20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Утилизация - 0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Утилизация RDF - 0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Размещение - 18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23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МЖКХиЭ НСО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9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Комплексный районный полигон с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мусоросортировочной линией в Баганском районе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4 кв. 2028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W w:w="4961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Создание мощностей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(тыс. т/год):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Обработка - 16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Утилизация - 0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Утилизация RDF - 0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Размещение - 16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23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МЖКХиЭ НСО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10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Комплексный районный полигон с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мусоросортировочной линией в Кыштовском районе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4 кв 2028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W w:w="4961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Создание мощностей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(тыс. т/год):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Обработка - 5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Утилизация - 0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Утилизация RDF - 0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Размещение - 5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23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МЖКХиЭ НСО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11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Комплексный районный полигон с 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мусоросортировочной линией в Черепановском районе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  <w:t xml:space="preserve">3 кв. 2029</w:t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color w:val="000000"/>
                <w:sz w:val="24"/>
                <w:szCs w:val="24"/>
                <w:highlight w:val="none"/>
              </w:rPr>
            </w:r>
          </w:p>
        </w:tc>
        <w:tc>
          <w:tcPr>
            <w:tcW w:w="4961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Создание мощностей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(тыс. т/год):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Обработка - 39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Утилизация - 0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Утилизация RDF - 0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Размещение - 39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23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МЖКХиЭ НСО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Итоговая мощность: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4961" w:type="dxa"/>
            <w:vMerge w:val="restart"/>
            <w:textDirection w:val="lrTb"/>
            <w:noWrap w:val="false"/>
          </w:tcPr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Создание мощностей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(тыс. т/год):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О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бработк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а - 943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Утилизация - 247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Утилизация RDF - 94,5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Обезвреженивание - 3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  <w:p>
            <w:pPr>
              <w:jc w:val="left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Размещение - 477,55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23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—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5"/>
            <w:tcW w:w="14570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Задача № 2.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Регулирование обращения с отходами, образующимися при строительстве объектов капитального строительства, их реконструкции, капитальном ремонте и сносе.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jc w:val="both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Задача № 3.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Внедрение информационных систем контроля и учета отходов строительства на стадиях образования, транспортирования и передачи их на утилизацию.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jc w:val="both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Задача № 4.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Повышение доли отходов строительства, вовлекаемых в хозяйственный оборот.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  <w14:ligatures w14:val="none"/>
              </w:rPr>
            </w:r>
          </w:p>
        </w:tc>
      </w:tr>
      <w:tr>
        <w:tblPrEx/>
        <w:trPr>
          <w:trHeight w:val="825"/>
        </w:trPr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7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4677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Разработка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Порядка обращения с отходами строительства, сноса зданий и сооружений на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территории Новосибирской области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I кв. 2027 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496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Принятие соответствующего НПА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23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Минстрой НСО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8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4677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Внедрение нормативов утилизации, запуск реестра добросовестных утилизаторов и субсидирование приобретения мобильных дробильных комплексов.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I кв. 2027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496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Увеличении доли утилизируемых строительных отходов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223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Минстрой НСО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9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4677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Создание и в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недрение автоматизированной системы контроля за обращением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отходами строительства, сноса зданий и сооруже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ний на 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территории Новосибирской области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I кв. 2028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4961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Принятие соответствующей системы в эксплуатацию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223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Минстрой НСО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5"/>
            <w:tcW w:w="14570" w:type="dxa"/>
            <w:vMerge w:val="restart"/>
            <w:textDirection w:val="lrTb"/>
            <w:noWrap w:val="false"/>
          </w:tcPr>
          <w:p>
            <w:pPr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Задача № 5.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Повышения объемов утилизации золошлаковых отходов от сжигания угля при строительстве инфраструктурных объектов.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10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Ф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рмирование перечня проектов по использованию ЗШО и ЗШМ при рекультивация объектов размещения твердых коммунальных отходов , в том числе расположенных в границах Новосибирской агломерации с применением на техническом этапе рекультивации в качестве инертного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 материала золошлаковых материалов Новосибирских ТЭЦ-5, ТЭЦ-3, ТЭЦ-2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IV кв. 2026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4961" w:type="dxa"/>
            <w:vAlign w:val="center"/>
            <w:vMerge w:val="restart"/>
            <w:textDirection w:val="lrTb"/>
            <w:noWrap w:val="false"/>
          </w:tcPr>
          <w:p>
            <w:pPr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223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МЖКХиЭ НСО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11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Ф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ормирование перечня проектов по использованию ЗШО и ЗШМ в дорожном строительстве, в том числе реализация пилотного проекта применения золошаковых материалов при строительстве объекта "Строительство и реконструкция участков автомобильной дороги Р-256 «Чуйск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ий тракт» - на участке Новосибирск - Линево (3 этап км 34+000 - 49+000)*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IV кв. 2029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4961" w:type="dxa"/>
            <w:vAlign w:val="center"/>
            <w:vMerge w:val="restart"/>
            <w:textDirection w:val="lrTb"/>
            <w:noWrap w:val="false"/>
          </w:tcPr>
          <w:p>
            <w:pPr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Использование ЗШО и ЗШМ в объеме 175 тыс. м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  <w:vertAlign w:val="superscript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223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МЖКХиЭ НСО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12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Формирование перечня проектов по использованию золы-уноса при производстве строительных материалов, стабилизации переувлажненных грунтов, для ускорения компостирования отходов птицеводства/животноводства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IV кв. 2029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4961" w:type="dxa"/>
            <w:vAlign w:val="center"/>
            <w:vMerge w:val="restart"/>
            <w:textDirection w:val="lrTb"/>
            <w:noWrap w:val="false"/>
          </w:tcPr>
          <w:p>
            <w:pPr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Масса использования золы-уноса в  до 180 тыс. тонн в год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223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МЖКХиЭ НСО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13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С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троительство т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ретьего этапа Восточного обхода г. Новосибирск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а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IV кв.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2028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W w:w="4961" w:type="dxa"/>
            <w:vAlign w:val="center"/>
            <w:vMerge w:val="restart"/>
            <w:textDirection w:val="lrTb"/>
            <w:noWrap w:val="false"/>
          </w:tcPr>
          <w:p>
            <w:pPr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Использование 175 тыс. м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  <w:vertAlign w:val="superscript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 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золошлаковых отходов с ТЭЦ-5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223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МЖКХиЭ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Росавтодор (по согласованию)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СГК Новосибирская область (по согласованию)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14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Рекультивация неэксплуатируемой секции золоотвала ТЭЦ-2 с использованием золошлаков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IV кв.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2029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W w:w="4961" w:type="dxa"/>
            <w:vAlign w:val="center"/>
            <w:vMerge w:val="restart"/>
            <w:textDirection w:val="lrTb"/>
            <w:noWrap w:val="false"/>
          </w:tcPr>
          <w:p>
            <w:pPr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Использование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1 685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тыс. м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  <w:vertAlign w:val="superscript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золошлаковых отходов с ТЭЦ-5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223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МЖКХиЭ НСО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СГК Новосибирская область (по согласованию)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15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Вертикальная планировка площадки бывшей Новосибирской ТЭЦ-6, где ведется промышленное строительство;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IV кв.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2029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W w:w="4961" w:type="dxa"/>
            <w:vAlign w:val="center"/>
            <w:vMerge w:val="restart"/>
            <w:textDirection w:val="lrTb"/>
            <w:noWrap w:val="false"/>
          </w:tcPr>
          <w:p>
            <w:pPr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Использование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1 500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тыс. м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  <w:vertAlign w:val="superscript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золошлаковых отходов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223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МЖКХиЭ НСО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СГК Новосибирская область (по согласованию)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16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4677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Рекультивация золоотвала № 1 Новосибирской ТЭЦ-5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IV кв.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2029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W w:w="4961" w:type="dxa"/>
            <w:vAlign w:val="center"/>
            <w:vMerge w:val="restart"/>
            <w:textDirection w:val="lrTb"/>
            <w:noWrap w:val="false"/>
          </w:tcPr>
          <w:p>
            <w:pPr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Использование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1 200 тыс.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м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  <w:vertAlign w:val="superscript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золошлаковых отходов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223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МЖКХиЭ НСО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СГК Новосибирская область (по согласованию)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5"/>
            <w:tcW w:w="14570" w:type="dxa"/>
            <w:vMerge w:val="restart"/>
            <w:textDirection w:val="lrTb"/>
            <w:noWrap w:val="false"/>
          </w:tcPr>
          <w:p>
            <w:pPr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Задача № 6.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Повышение уровня экологической культуры населения и популяризация принципов ответственного потребления.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17</w:t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  <w14:ligatures w14:val="none"/>
              </w:rPr>
            </w:r>
          </w:p>
        </w:tc>
        <w:tc>
          <w:tcPr>
            <w:tcW w:w="4677" w:type="dxa"/>
            <w:vMerge w:val="restart"/>
            <w:textDirection w:val="lrTb"/>
            <w:noWrap w:val="false"/>
          </w:tcPr>
          <w:p>
            <w:pPr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Проведение мероприятий различного типа направленных на взаимодействие населения, органов власти, организаций по обращению с отходами 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I-IV кв. 2026-2030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4961" w:type="dxa"/>
            <w:vAlign w:val="center"/>
            <w:vMerge w:val="restart"/>
            <w:textDirection w:val="lrTb"/>
            <w:noWrap w:val="false"/>
          </w:tcPr>
          <w:p>
            <w:pPr>
              <w:jc w:val="both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Повышение уровня экологической культуры населения и популяризация принципов ответственного потребления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2239" w:type="dxa"/>
            <w:vMerge w:val="restart"/>
            <w:textDirection w:val="lrTb"/>
            <w:noWrap w:val="false"/>
          </w:tcPr>
          <w:p>
            <w:pPr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МЖКХиЭ НСО, Минприроды НСО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gridSpan w:val="5"/>
            <w:tcW w:w="14570" w:type="dxa"/>
            <w:vMerge w:val="restart"/>
            <w:textDirection w:val="lrTb"/>
            <w:noWrap w:val="false"/>
          </w:tcPr>
          <w:p>
            <w:pPr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Задача № 7.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Создание инфраструктуры и объектов по обращению со вторичными ресурсами и вторичным сырьем.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/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auto"/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b w:val="0"/>
                <w:bCs w:val="0"/>
                <w:sz w:val="24"/>
                <w:szCs w:val="24"/>
                <w:highlight w:val="none"/>
              </w:rPr>
              <w:t xml:space="preserve">18</w:t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b w:val="0"/>
                <w:bCs w:val="0"/>
                <w:sz w:val="24"/>
                <w:szCs w:val="24"/>
                <w:highlight w:val="none"/>
              </w:rPr>
            </w:r>
          </w:p>
        </w:tc>
        <w:tc>
          <w:tcPr>
            <w:tcW w:w="4677" w:type="dxa"/>
            <w:vMerge w:val="restart"/>
            <w:textDirection w:val="lrTb"/>
            <w:noWrap w:val="false"/>
          </w:tcPr>
          <w:p>
            <w:pPr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Строительство (реконструкция) и ввод в эксплуатацию объектов по сортировке, рециклингу и производству товарной продукции из вторичного сырья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vMerge w:val="restart"/>
            <w:textDirection w:val="lrTb"/>
            <w:noWrap w:val="false"/>
          </w:tcPr>
          <w:p>
            <w:pPr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  <w:t xml:space="preserve">IV кв. 2027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4961" w:type="dxa"/>
            <w:vMerge w:val="restart"/>
            <w:textDirection w:val="lrTb"/>
            <w:noWrap w:val="false"/>
          </w:tcPr>
          <w:p>
            <w:pPr>
              <w:jc w:val="both"/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Реализация повышения количества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вторичных полимеров, стеклобоя и вторсырья для целлюлозно-бумажной промышленности. Увеличена доля вовлеченных в хозяйственный оборот вторичных ресурсов в общем объеме образованных отходов. Формирование конкурентной среды в сфере обращения с вторичны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ми материальными ресурсами.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2239" w:type="dxa"/>
            <w:vMerge w:val="restart"/>
            <w:textDirection w:val="lrTb"/>
            <w:noWrap w:val="false"/>
          </w:tcPr>
          <w:p>
            <w:pPr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МЖКХиЭ НСО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  <w:p>
            <w:pPr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Минпромторг НСО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  <w:p>
            <w:pPr>
              <w:shd w:val="clear" w:color="auto" w:fill="auto"/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Минприродны НСО</w:t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cs="Liberation Serif"/>
                <w:sz w:val="24"/>
                <w:szCs w:val="24"/>
                <w:highlight w:val="none"/>
              </w:rPr>
            </w:r>
          </w:p>
        </w:tc>
      </w:tr>
    </w:tbl>
    <w:p>
      <w:pPr>
        <w:ind w:firstLine="720"/>
        <w:jc w:val="center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</w:p>
    <w:p>
      <w:pPr>
        <w:ind w:firstLine="720"/>
        <w:jc w:val="center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</w:p>
    <w:p>
      <w:pPr>
        <w:ind w:firstLine="720"/>
        <w:jc w:val="center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pPr>
      <w:r>
        <w:rPr>
          <w:rStyle w:val="89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</w:p>
    <w:p>
      <w:pPr>
        <w:ind w:firstLine="720"/>
        <w:jc w:val="center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  <w:sectPr>
          <w:footnotePr/>
          <w:endnotePr/>
          <w:type w:val="nextPage"/>
          <w:pgSz w:w="16838" w:h="11906" w:orient="landscape"/>
          <w:pgMar w:top="1701" w:right="1134" w:bottom="850" w:left="1134" w:header="709" w:footer="709" w:gutter="0"/>
          <w:cols w:num="1" w:sep="0" w:space="708" w:equalWidth="1"/>
          <w:docGrid w:linePitch="360"/>
        </w:sect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</w:p>
    <w:p>
      <w:pPr>
        <w:shd w:val="clear" w:color="auto" w:fill="auto"/>
        <w:rPr>
          <w:rFonts w:ascii="Liberation Serif" w:hAnsi="Liberation Serif" w:eastAsia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Мероприятия по увеличению доли утилизируемых отходов (исключая вскрышные породы) до 25% в Новосибирской области приведены в таблице № 7.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ind w:firstLine="720"/>
        <w:jc w:val="right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sz w:val="24"/>
          <w:szCs w:val="24"/>
          <w:highlight w:val="none"/>
        </w:rPr>
      </w:pPr>
      <w:r>
        <w:rPr>
          <w:rFonts w:ascii="Liberation Serif" w:hAnsi="Liberation Serif" w:eastAsia="Liberation Serif" w:cs="Liberation Serif"/>
          <w:sz w:val="24"/>
          <w:szCs w:val="24"/>
          <w:highlight w:val="none"/>
        </w:rPr>
        <w:t xml:space="preserve">Таблица № 7</w:t>
      </w:r>
      <w:r>
        <w:rPr>
          <w:rFonts w:ascii="Liberation Serif" w:hAnsi="Liberation Serif" w:eastAsia="Liberation Serif" w:cs="Liberation Serif"/>
          <w:sz w:val="24"/>
          <w:szCs w:val="24"/>
          <w:highlight w:val="none"/>
        </w:rPr>
      </w:r>
      <w:r>
        <w:rPr>
          <w:rFonts w:ascii="Liberation Serif" w:hAnsi="Liberation Serif" w:eastAsia="Liberation Serif" w:cs="Liberation Serif"/>
          <w:sz w:val="24"/>
          <w:szCs w:val="24"/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tbl>
      <w:tblPr>
        <w:tblStyle w:val="748"/>
        <w:tblW w:w="0" w:type="auto"/>
        <w:tblLayout w:type="fixed"/>
        <w:tblLook w:val="04A0" w:firstRow="1" w:lastRow="0" w:firstColumn="1" w:lastColumn="0" w:noHBand="0" w:noVBand="1"/>
      </w:tblPr>
      <w:tblGrid>
        <w:gridCol w:w="567"/>
        <w:gridCol w:w="1984"/>
        <w:gridCol w:w="850"/>
        <w:gridCol w:w="709"/>
        <w:gridCol w:w="709"/>
        <w:gridCol w:w="850"/>
        <w:gridCol w:w="850"/>
        <w:gridCol w:w="2836"/>
      </w:tblGrid>
      <w:tr>
        <w:tblPrEx/>
        <w:trPr/>
        <w:tc>
          <w:tcPr>
            <w:tcW w:w="567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№ п/п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Сфера образования отходов производства и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потребления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20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26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2027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709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2028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2029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850" w:type="dxa"/>
            <w:vAlign w:val="center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2030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2836" w:type="dxa"/>
            <w:vAlign w:val="center"/>
            <w:textDirection w:val="lrTb"/>
            <w:noWrap w:val="false"/>
          </w:tcPr>
          <w:p>
            <w:pPr>
              <w:pStyle w:val="894"/>
              <w:ind w:left="57" w:right="57"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Наименование мероприятия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1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ЗШО, доля утилизируемых, %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120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134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98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98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pStyle w:val="894"/>
              <w:ind w:firstLine="0"/>
              <w:jc w:val="center"/>
              <w:shd w:val="clear" w:color="auto" w:fill="auto"/>
              <w:rPr>
                <w:rFonts w:ascii="Liberation Serif" w:hAnsi="Liberation Serif" w:cs="Liberation Serif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highlight w:val="none"/>
              </w:rPr>
              <w:t xml:space="preserve">98</w:t>
            </w:r>
            <w:r>
              <w:rPr>
                <w:rFonts w:ascii="Liberation Serif" w:hAnsi="Liberation Serif" w:cs="Liberation Serif"/>
                <w:highlight w:val="none"/>
              </w:rPr>
            </w:r>
            <w:r>
              <w:rPr>
                <w:rFonts w:ascii="Liberation Serif" w:hAnsi="Liberation Serif" w:cs="Liberation Serif"/>
                <w:highlight w:val="none"/>
              </w:rPr>
            </w:r>
          </w:p>
        </w:tc>
        <w:tc>
          <w:tcPr>
            <w:tcW w:w="283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  <w:lang w:bidi="ru-RU"/>
              </w:rPr>
              <w:t xml:space="preserve">Проекты рекультивации, дорожного строительства, вертикальной планировки, производства строительных материалов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2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Строительные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отходов, доля утилизируемых, %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35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45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55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65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75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283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Увеличение мощностей действующих объектов утилизации строительных отходов и создание новых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567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3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1984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Твердые коммунальные отходы доля утилизируемых, %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2,4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2,4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7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2,6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25,4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8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48,2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  <w:tc>
          <w:tcPr>
            <w:tcW w:w="2836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hd w:val="clear" w:color="auto" w:fill="auto"/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pP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  <w:t xml:space="preserve">Создание КПО </w:t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  <w:r>
              <w:rPr>
                <w:rFonts w:ascii="Liberation Serif" w:hAnsi="Liberation Serif" w:eastAsia="Liberation Serif" w:cs="Liberation Serif"/>
                <w:sz w:val="24"/>
                <w:szCs w:val="24"/>
                <w:highlight w:val="none"/>
              </w:rPr>
            </w:r>
          </w:p>
        </w:tc>
      </w:tr>
    </w:tbl>
    <w:p>
      <w:pPr>
        <w:ind w:firstLine="720"/>
        <w:jc w:val="both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sz w:val="28"/>
          <w:szCs w:val="28"/>
          <w:highlight w:val="none"/>
        </w:rPr>
      </w:pPr>
      <w:r>
        <w:rPr>
          <w:rStyle w:val="89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shd w:val="clear" w:color="auto" w:fill="auto"/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  <w:br w:type="page" w:clear="all"/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</w:p>
    <w:p>
      <w:pPr>
        <w:ind w:firstLine="0"/>
        <w:jc w:val="center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  <w:t xml:space="preserve">VIII. Ресурсное обеспечение региональной программы 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</w:p>
    <w:p>
      <w:pPr>
        <w:ind w:firstLine="720"/>
        <w:jc w:val="center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tabs>
          <w:tab w:val="left" w:pos="5767" w:leader="none"/>
        </w:tabs>
        <w:rPr>
          <w:rFonts w:ascii="Liberation Serif" w:hAnsi="Liberation Serif" w:eastAsia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Средства областного и местных бюджетов Новосибирской области, внебюджетные источники финансирования,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субсидии для утилизаторов от ППК «РЭО»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.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tabs>
          <w:tab w:val="left" w:pos="5767" w:leader="none"/>
        </w:tabs>
        <w:rPr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В целях создания условий для развития промышленного потенциала, Минпромторгом НСО реализуется государственная программа Новосибирской области «Развитие промышленности и повышение её конкурентоспособности в Новосибирской области», утверждена постановлением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Правительства Новосибирской области от 28.07.2015 № 291- п, которая предусматривает мероприятия по предоставлению субсидий на возмещение части затрат на уже приобретенное новое основное технологическое оборудование. Обязательными условиями являются то, что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 предприятие – получатель поддержки относится к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обрабатывающим производствам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– раздел «С» Общероссийского классификатора видов экономической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деятельности (ОКВЭД)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.</w:t>
      </w:r>
      <w:r>
        <w:rPr>
          <w:highlight w:val="none"/>
        </w:rPr>
      </w:r>
      <w:r>
        <w:rPr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tabs>
          <w:tab w:val="left" w:pos="5767" w:leader="none"/>
        </w:tabs>
        <w:rPr>
          <w:rFonts w:ascii="Liberation Serif" w:hAnsi="Liberation Serif" w:eastAsia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Кроме того, одной из мер поддержки является предоставление займов в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Государственном фонде развития промышленности Новосибирской области (ФРП НСО).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tabs>
          <w:tab w:val="left" w:pos="5767" w:leader="none"/>
        </w:tabs>
        <w:rPr>
          <w:rFonts w:ascii="Liberation Serif" w:hAnsi="Liberation Serif" w:eastAsia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ind w:firstLine="0"/>
        <w:jc w:val="center"/>
        <w:spacing w:after="0" w:afterAutospacing="0" w:line="240" w:lineRule="auto"/>
        <w:shd w:val="clear" w:color="auto" w:fill="auto"/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  <w:suppressLineNumbers w:val="0"/>
      </w:pP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  <w:t xml:space="preserve">IX. Описание системы управления и контроля за реализацией региональной программы</w:t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</w:p>
    <w:p>
      <w:pPr>
        <w:ind w:firstLine="720"/>
        <w:jc w:val="both"/>
        <w:spacing w:after="0" w:afterAutospacing="0" w:line="240" w:lineRule="auto"/>
        <w:shd w:val="clear" w:color="auto" w:fill="auto"/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b/>
          <w:bCs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Приказом министерства жилищно-коммунального хозяйства и энергетики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Новосибирской области от 03.10.2025 № 242-НПА утверждена рабочая группа по разработке региональной программы по переходу на экономику замкнутого цикла в целях координации управления и контроля за ходом реализации региональной программы «Переход Новосибирск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ой области к экономике замкнутого цикла» в составе: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Министерство жилищно-коммунального хозяйства и энергетики Новосибирской области;</w:t>
      </w:r>
      <w:r>
        <w:rPr>
          <w:highlight w:val="none"/>
        </w:rPr>
      </w:r>
      <w:r>
        <w:rPr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Министерство строительства Новосибирской области</w:t>
      </w:r>
      <w:r>
        <w:rPr>
          <w:highlight w:val="none"/>
        </w:rPr>
      </w:r>
      <w:r>
        <w:rPr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Министерство экономического развития Новосибирской области;</w:t>
      </w:r>
      <w:r>
        <w:rPr>
          <w:highlight w:val="none"/>
        </w:rPr>
      </w:r>
      <w:r>
        <w:rPr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Министерство природных ресурсов и экологии Новосибирской области;</w:t>
      </w:r>
      <w:r>
        <w:rPr>
          <w:highlight w:val="none"/>
        </w:rPr>
      </w:r>
      <w:r>
        <w:rPr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Министерство здравоохранения Новосибирской области;</w:t>
      </w:r>
      <w:r>
        <w:rPr>
          <w:highlight w:val="none"/>
        </w:rPr>
      </w:r>
      <w:r>
        <w:rPr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Управление ветеринарии Новосибирской области;</w:t>
      </w:r>
      <w:r>
        <w:rPr>
          <w:highlight w:val="none"/>
        </w:rPr>
      </w:r>
      <w:r>
        <w:rPr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Министерство сельского хозяйства Новосибирской области;</w:t>
      </w:r>
      <w:r>
        <w:rPr>
          <w:highlight w:val="none"/>
        </w:rPr>
      </w:r>
      <w:r>
        <w:rPr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Министерство промышленности, торговл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и и развития предпринимательства Новосибирской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области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.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В рамках реализации региональной программы будет поддерживаться развитие различных форматов взаимодействия исполнительных органов Новосибирской области, органов местного самоуправления муниципальных образований Новосибирской области и пред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приятий по вопросам реализации мероприятий, способствующих переходу к экономике замкнутого цикла.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shd w:val="clear" w:color="auto" w:fill="auto"/>
        <w:rPr>
          <w:rFonts w:ascii="Liberation Serif" w:hAnsi="Liberation Serif" w:eastAsia="Liberation Serif" w:cs="Liberation Serif"/>
          <w:sz w:val="28"/>
          <w:szCs w:val="28"/>
          <w:highlight w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Контроль за реализацией региональной программы осуществляется министерством жилищно-коммунального хозяйства и энергетики Новосибирской области во взаимодействии с остальными исполнителями и участниками региональной программы.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964" w:left="1418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erif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imes New Roman CYR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44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80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2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4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6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8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0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2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40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2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822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4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6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8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70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42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4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6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82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11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20" w:hanging="360"/>
      </w:pPr>
      <w:rPr>
        <w:rFonts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Arial" w:hAnsi="Arial" w:eastAsia="Arial" w:cs="Arial"/>
        <w:color w:val="0f1115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6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2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89" w:hanging="360"/>
      </w:pPr>
      <w:rPr>
        <w:rFonts w:hint="default" w:ascii="Wingdings" w:hAnsi="Wingdings" w:eastAsia="Wingdings" w:cs="Wingdings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9"/>
  </w:num>
  <w:num w:numId="5">
    <w:abstractNumId w:val="7"/>
  </w:num>
  <w:num w:numId="6">
    <w:abstractNumId w:val="3"/>
  </w:num>
  <w:num w:numId="7">
    <w:abstractNumId w:val="6"/>
  </w:num>
  <w:num w:numId="8">
    <w:abstractNumId w:val="0"/>
  </w:num>
  <w:num w:numId="9">
    <w:abstractNumId w:val="1"/>
  </w:num>
  <w:num w:numId="10">
    <w:abstractNumId w:val="8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4" w:default="1">
    <w:name w:val="Normal"/>
    <w:qFormat/>
  </w:style>
  <w:style w:type="paragraph" w:styleId="695">
    <w:name w:val="Heading 1"/>
    <w:basedOn w:val="694"/>
    <w:next w:val="694"/>
    <w:link w:val="725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96">
    <w:name w:val="Heading 2"/>
    <w:basedOn w:val="694"/>
    <w:next w:val="694"/>
    <w:link w:val="726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97">
    <w:name w:val="Heading 3"/>
    <w:basedOn w:val="694"/>
    <w:next w:val="694"/>
    <w:link w:val="727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98">
    <w:name w:val="Heading 4"/>
    <w:basedOn w:val="694"/>
    <w:next w:val="694"/>
    <w:link w:val="728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9">
    <w:name w:val="Heading 5"/>
    <w:basedOn w:val="694"/>
    <w:next w:val="694"/>
    <w:link w:val="729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00">
    <w:name w:val="Heading 6"/>
    <w:basedOn w:val="694"/>
    <w:next w:val="694"/>
    <w:link w:val="730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01">
    <w:name w:val="Heading 7"/>
    <w:basedOn w:val="694"/>
    <w:next w:val="694"/>
    <w:link w:val="731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02">
    <w:name w:val="Heading 8"/>
    <w:basedOn w:val="694"/>
    <w:next w:val="694"/>
    <w:link w:val="732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03">
    <w:name w:val="Heading 9"/>
    <w:basedOn w:val="694"/>
    <w:next w:val="694"/>
    <w:link w:val="733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4" w:default="1">
    <w:name w:val="Default Paragraph Font"/>
    <w:uiPriority w:val="1"/>
    <w:semiHidden/>
    <w:unhideWhenUsed/>
  </w:style>
  <w:style w:type="table" w:styleId="70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6" w:default="1">
    <w:name w:val="No List"/>
    <w:uiPriority w:val="99"/>
    <w:semiHidden/>
    <w:unhideWhenUsed/>
  </w:style>
  <w:style w:type="character" w:styleId="707" w:customStyle="1">
    <w:name w:val="Heading 1 Char"/>
    <w:basedOn w:val="704"/>
    <w:uiPriority w:val="9"/>
    <w:rPr>
      <w:rFonts w:ascii="Arial" w:hAnsi="Arial" w:eastAsia="Arial" w:cs="Arial"/>
      <w:sz w:val="40"/>
      <w:szCs w:val="40"/>
    </w:rPr>
  </w:style>
  <w:style w:type="character" w:styleId="708" w:customStyle="1">
    <w:name w:val="Heading 2 Char"/>
    <w:basedOn w:val="704"/>
    <w:uiPriority w:val="9"/>
    <w:rPr>
      <w:rFonts w:ascii="Arial" w:hAnsi="Arial" w:eastAsia="Arial" w:cs="Arial"/>
      <w:sz w:val="34"/>
    </w:rPr>
  </w:style>
  <w:style w:type="character" w:styleId="709" w:customStyle="1">
    <w:name w:val="Heading 3 Char"/>
    <w:basedOn w:val="704"/>
    <w:uiPriority w:val="9"/>
    <w:rPr>
      <w:rFonts w:ascii="Arial" w:hAnsi="Arial" w:eastAsia="Arial" w:cs="Arial"/>
      <w:sz w:val="30"/>
      <w:szCs w:val="30"/>
    </w:rPr>
  </w:style>
  <w:style w:type="character" w:styleId="710" w:customStyle="1">
    <w:name w:val="Heading 4 Char"/>
    <w:basedOn w:val="704"/>
    <w:uiPriority w:val="9"/>
    <w:rPr>
      <w:rFonts w:ascii="Arial" w:hAnsi="Arial" w:eastAsia="Arial" w:cs="Arial"/>
      <w:b/>
      <w:bCs/>
      <w:sz w:val="26"/>
      <w:szCs w:val="26"/>
    </w:rPr>
  </w:style>
  <w:style w:type="character" w:styleId="711" w:customStyle="1">
    <w:name w:val="Heading 5 Char"/>
    <w:basedOn w:val="704"/>
    <w:uiPriority w:val="9"/>
    <w:rPr>
      <w:rFonts w:ascii="Arial" w:hAnsi="Arial" w:eastAsia="Arial" w:cs="Arial"/>
      <w:b/>
      <w:bCs/>
      <w:sz w:val="24"/>
      <w:szCs w:val="24"/>
    </w:rPr>
  </w:style>
  <w:style w:type="character" w:styleId="712" w:customStyle="1">
    <w:name w:val="Heading 6 Char"/>
    <w:basedOn w:val="704"/>
    <w:uiPriority w:val="9"/>
    <w:rPr>
      <w:rFonts w:ascii="Arial" w:hAnsi="Arial" w:eastAsia="Arial" w:cs="Arial"/>
      <w:b/>
      <w:bCs/>
      <w:sz w:val="22"/>
      <w:szCs w:val="22"/>
    </w:rPr>
  </w:style>
  <w:style w:type="character" w:styleId="713" w:customStyle="1">
    <w:name w:val="Heading 7 Char"/>
    <w:basedOn w:val="70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4" w:customStyle="1">
    <w:name w:val="Heading 8 Char"/>
    <w:basedOn w:val="704"/>
    <w:uiPriority w:val="9"/>
    <w:rPr>
      <w:rFonts w:ascii="Arial" w:hAnsi="Arial" w:eastAsia="Arial" w:cs="Arial"/>
      <w:i/>
      <w:iCs/>
      <w:sz w:val="22"/>
      <w:szCs w:val="22"/>
    </w:rPr>
  </w:style>
  <w:style w:type="character" w:styleId="715" w:customStyle="1">
    <w:name w:val="Heading 9 Char"/>
    <w:basedOn w:val="704"/>
    <w:uiPriority w:val="9"/>
    <w:rPr>
      <w:rFonts w:ascii="Arial" w:hAnsi="Arial" w:eastAsia="Arial" w:cs="Arial"/>
      <w:i/>
      <w:iCs/>
      <w:sz w:val="21"/>
      <w:szCs w:val="21"/>
    </w:rPr>
  </w:style>
  <w:style w:type="character" w:styleId="716" w:customStyle="1">
    <w:name w:val="Title Char"/>
    <w:basedOn w:val="704"/>
    <w:uiPriority w:val="10"/>
    <w:rPr>
      <w:sz w:val="48"/>
      <w:szCs w:val="48"/>
    </w:rPr>
  </w:style>
  <w:style w:type="character" w:styleId="717" w:customStyle="1">
    <w:name w:val="Subtitle Char"/>
    <w:basedOn w:val="704"/>
    <w:uiPriority w:val="11"/>
    <w:rPr>
      <w:sz w:val="24"/>
      <w:szCs w:val="24"/>
    </w:rPr>
  </w:style>
  <w:style w:type="character" w:styleId="718" w:customStyle="1">
    <w:name w:val="Quote Char"/>
    <w:uiPriority w:val="29"/>
    <w:rPr>
      <w:i/>
    </w:rPr>
  </w:style>
  <w:style w:type="character" w:styleId="719" w:customStyle="1">
    <w:name w:val="Intense Quote Char"/>
    <w:uiPriority w:val="30"/>
    <w:rPr>
      <w:i/>
    </w:rPr>
  </w:style>
  <w:style w:type="character" w:styleId="720" w:customStyle="1">
    <w:name w:val="Header Char"/>
    <w:basedOn w:val="704"/>
    <w:uiPriority w:val="99"/>
  </w:style>
  <w:style w:type="character" w:styleId="721" w:customStyle="1">
    <w:name w:val="Footer Char"/>
    <w:basedOn w:val="704"/>
    <w:uiPriority w:val="99"/>
  </w:style>
  <w:style w:type="character" w:styleId="722" w:customStyle="1">
    <w:name w:val="Caption Char"/>
    <w:basedOn w:val="704"/>
    <w:uiPriority w:val="35"/>
    <w:rPr>
      <w:b/>
      <w:bCs/>
      <w:color w:val="5b9bd5" w:themeColor="accent1"/>
      <w:sz w:val="18"/>
      <w:szCs w:val="18"/>
    </w:rPr>
  </w:style>
  <w:style w:type="character" w:styleId="723" w:customStyle="1">
    <w:name w:val="Footnote Text Char"/>
    <w:uiPriority w:val="99"/>
    <w:rPr>
      <w:sz w:val="18"/>
    </w:rPr>
  </w:style>
  <w:style w:type="character" w:styleId="724" w:customStyle="1">
    <w:name w:val="Endnote Text Char"/>
    <w:uiPriority w:val="99"/>
    <w:rPr>
      <w:sz w:val="20"/>
    </w:rPr>
  </w:style>
  <w:style w:type="character" w:styleId="725" w:customStyle="1">
    <w:name w:val="Заголовок 1 Знак"/>
    <w:link w:val="695"/>
    <w:uiPriority w:val="9"/>
    <w:rPr>
      <w:rFonts w:ascii="Arial" w:hAnsi="Arial" w:eastAsia="Arial" w:cs="Arial"/>
      <w:sz w:val="40"/>
      <w:szCs w:val="40"/>
    </w:rPr>
  </w:style>
  <w:style w:type="character" w:styleId="726" w:customStyle="1">
    <w:name w:val="Заголовок 2 Знак"/>
    <w:link w:val="696"/>
    <w:uiPriority w:val="9"/>
    <w:rPr>
      <w:rFonts w:ascii="Arial" w:hAnsi="Arial" w:eastAsia="Arial" w:cs="Arial"/>
      <w:sz w:val="34"/>
    </w:rPr>
  </w:style>
  <w:style w:type="character" w:styleId="727" w:customStyle="1">
    <w:name w:val="Заголовок 3 Знак"/>
    <w:link w:val="697"/>
    <w:uiPriority w:val="9"/>
    <w:rPr>
      <w:rFonts w:ascii="Arial" w:hAnsi="Arial" w:eastAsia="Arial" w:cs="Arial"/>
      <w:sz w:val="30"/>
      <w:szCs w:val="30"/>
    </w:rPr>
  </w:style>
  <w:style w:type="character" w:styleId="728" w:customStyle="1">
    <w:name w:val="Заголовок 4 Знак"/>
    <w:link w:val="698"/>
    <w:uiPriority w:val="9"/>
    <w:rPr>
      <w:rFonts w:ascii="Arial" w:hAnsi="Arial" w:eastAsia="Arial" w:cs="Arial"/>
      <w:b/>
      <w:bCs/>
      <w:sz w:val="26"/>
      <w:szCs w:val="26"/>
    </w:rPr>
  </w:style>
  <w:style w:type="character" w:styleId="729" w:customStyle="1">
    <w:name w:val="Заголовок 5 Знак"/>
    <w:link w:val="699"/>
    <w:uiPriority w:val="9"/>
    <w:rPr>
      <w:rFonts w:ascii="Arial" w:hAnsi="Arial" w:eastAsia="Arial" w:cs="Arial"/>
      <w:b/>
      <w:bCs/>
      <w:sz w:val="24"/>
      <w:szCs w:val="24"/>
    </w:rPr>
  </w:style>
  <w:style w:type="character" w:styleId="730" w:customStyle="1">
    <w:name w:val="Заголовок 6 Знак"/>
    <w:link w:val="700"/>
    <w:uiPriority w:val="9"/>
    <w:rPr>
      <w:rFonts w:ascii="Arial" w:hAnsi="Arial" w:eastAsia="Arial" w:cs="Arial"/>
      <w:b/>
      <w:bCs/>
      <w:sz w:val="22"/>
      <w:szCs w:val="22"/>
    </w:rPr>
  </w:style>
  <w:style w:type="character" w:styleId="731" w:customStyle="1">
    <w:name w:val="Заголовок 7 Знак"/>
    <w:link w:val="70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2" w:customStyle="1">
    <w:name w:val="Заголовок 8 Знак"/>
    <w:link w:val="702"/>
    <w:uiPriority w:val="9"/>
    <w:rPr>
      <w:rFonts w:ascii="Arial" w:hAnsi="Arial" w:eastAsia="Arial" w:cs="Arial"/>
      <w:i/>
      <w:iCs/>
      <w:sz w:val="22"/>
      <w:szCs w:val="22"/>
    </w:rPr>
  </w:style>
  <w:style w:type="character" w:styleId="733" w:customStyle="1">
    <w:name w:val="Заголовок 9 Знак"/>
    <w:link w:val="703"/>
    <w:uiPriority w:val="9"/>
    <w:rPr>
      <w:rFonts w:ascii="Arial" w:hAnsi="Arial" w:eastAsia="Arial" w:cs="Arial"/>
      <w:i/>
      <w:iCs/>
      <w:sz w:val="21"/>
      <w:szCs w:val="21"/>
    </w:rPr>
  </w:style>
  <w:style w:type="paragraph" w:styleId="734">
    <w:name w:val="Title"/>
    <w:basedOn w:val="694"/>
    <w:next w:val="694"/>
    <w:link w:val="735"/>
    <w:uiPriority w:val="10"/>
    <w:qFormat/>
    <w:pPr>
      <w:contextualSpacing/>
      <w:spacing w:before="300"/>
    </w:pPr>
    <w:rPr>
      <w:sz w:val="48"/>
      <w:szCs w:val="48"/>
    </w:rPr>
  </w:style>
  <w:style w:type="character" w:styleId="735" w:customStyle="1">
    <w:name w:val="Заголовок Знак"/>
    <w:link w:val="734"/>
    <w:uiPriority w:val="10"/>
    <w:rPr>
      <w:sz w:val="48"/>
      <w:szCs w:val="48"/>
    </w:rPr>
  </w:style>
  <w:style w:type="paragraph" w:styleId="736">
    <w:name w:val="Subtitle"/>
    <w:basedOn w:val="694"/>
    <w:next w:val="694"/>
    <w:link w:val="737"/>
    <w:uiPriority w:val="11"/>
    <w:qFormat/>
    <w:pPr>
      <w:spacing w:before="200"/>
    </w:pPr>
    <w:rPr>
      <w:sz w:val="24"/>
      <w:szCs w:val="24"/>
    </w:rPr>
  </w:style>
  <w:style w:type="character" w:styleId="737" w:customStyle="1">
    <w:name w:val="Подзаголовок Знак"/>
    <w:link w:val="736"/>
    <w:uiPriority w:val="11"/>
    <w:rPr>
      <w:sz w:val="24"/>
      <w:szCs w:val="24"/>
    </w:rPr>
  </w:style>
  <w:style w:type="paragraph" w:styleId="738">
    <w:name w:val="Quote"/>
    <w:basedOn w:val="694"/>
    <w:next w:val="694"/>
    <w:link w:val="739"/>
    <w:uiPriority w:val="29"/>
    <w:qFormat/>
    <w:pPr>
      <w:ind w:left="720" w:right="720"/>
    </w:pPr>
    <w:rPr>
      <w:i/>
    </w:rPr>
  </w:style>
  <w:style w:type="character" w:styleId="739" w:customStyle="1">
    <w:name w:val="Цитата 2 Знак"/>
    <w:link w:val="738"/>
    <w:uiPriority w:val="29"/>
    <w:rPr>
      <w:i/>
    </w:rPr>
  </w:style>
  <w:style w:type="paragraph" w:styleId="740">
    <w:name w:val="Intense Quote"/>
    <w:basedOn w:val="694"/>
    <w:next w:val="694"/>
    <w:link w:val="741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1" w:customStyle="1">
    <w:name w:val="Выделенная цитата Знак"/>
    <w:link w:val="740"/>
    <w:uiPriority w:val="30"/>
    <w:rPr>
      <w:i/>
    </w:rPr>
  </w:style>
  <w:style w:type="paragraph" w:styleId="742">
    <w:name w:val="Header"/>
    <w:basedOn w:val="694"/>
    <w:link w:val="7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3" w:customStyle="1">
    <w:name w:val="Верхний колонтитул Знак"/>
    <w:link w:val="742"/>
    <w:uiPriority w:val="99"/>
  </w:style>
  <w:style w:type="paragraph" w:styleId="744">
    <w:name w:val="Footer"/>
    <w:basedOn w:val="694"/>
    <w:link w:val="7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5" w:customStyle="1">
    <w:name w:val="Нижний колонтитул Знак"/>
    <w:link w:val="744"/>
    <w:uiPriority w:val="99"/>
  </w:style>
  <w:style w:type="paragraph" w:styleId="746">
    <w:name w:val="Caption"/>
    <w:basedOn w:val="694"/>
    <w:next w:val="694"/>
    <w:link w:val="747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styleId="747" w:customStyle="1">
    <w:name w:val="Название объекта Знак"/>
    <w:link w:val="746"/>
    <w:uiPriority w:val="35"/>
    <w:rPr>
      <w:b/>
      <w:bCs/>
      <w:color w:val="5b9bd5" w:themeColor="accent1"/>
      <w:sz w:val="18"/>
      <w:szCs w:val="18"/>
    </w:rPr>
  </w:style>
  <w:style w:type="table" w:styleId="748">
    <w:name w:val="Table Grid"/>
    <w:basedOn w:val="705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49" w:customStyle="1">
    <w:name w:val="Table Grid Light"/>
    <w:basedOn w:val="705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50">
    <w:name w:val="Plain Table 1"/>
    <w:basedOn w:val="705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1">
    <w:name w:val="Plain Table 2"/>
    <w:basedOn w:val="705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2">
    <w:name w:val="Plain Table 3"/>
    <w:basedOn w:val="70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3">
    <w:name w:val="Plain Table 4"/>
    <w:basedOn w:val="70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Plain Table 5"/>
    <w:basedOn w:val="70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5">
    <w:name w:val="Grid Table 1 Light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1 Light - Accent 1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2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Grid Table 1 Light - Accent 3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4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 w:customStyle="1">
    <w:name w:val="Grid Table 1 Light - Accent 5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 w:customStyle="1">
    <w:name w:val="Grid Table 1 Light - Accent 6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2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1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2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2 - Accent 3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2 - Accent 4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Grid Table 2 - Accent 5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2 - Accent 6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3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1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2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3 - Accent 3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3 - Accent 4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 w:customStyle="1">
    <w:name w:val="Grid Table 3 - Accent 5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 w:customStyle="1">
    <w:name w:val="Grid Table 3 - Accent 6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4"/>
    <w:basedOn w:val="705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7" w:customStyle="1">
    <w:name w:val="Grid Table 4 - Accent 1"/>
    <w:basedOn w:val="705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78" w:customStyle="1">
    <w:name w:val="Grid Table 4 - Accent 2"/>
    <w:basedOn w:val="705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79" w:customStyle="1">
    <w:name w:val="Grid Table 4 - Accent 3"/>
    <w:basedOn w:val="705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80" w:customStyle="1">
    <w:name w:val="Grid Table 4 - Accent 4"/>
    <w:basedOn w:val="705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81" w:customStyle="1">
    <w:name w:val="Grid Table 4 - Accent 5"/>
    <w:basedOn w:val="705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82" w:customStyle="1">
    <w:name w:val="Grid Table 4 - Accent 6"/>
    <w:basedOn w:val="705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83">
    <w:name w:val="Grid Table 5 Dark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- Accent 1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 - Accent 2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86" w:customStyle="1">
    <w:name w:val="Grid Table 5 Dark - Accent 3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87" w:customStyle="1">
    <w:name w:val="Grid Table 5 Dark- Accent 4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88" w:customStyle="1">
    <w:name w:val="Grid Table 5 Dark - Accent 5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89" w:customStyle="1">
    <w:name w:val="Grid Table 5 Dark - Accent 6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90">
    <w:name w:val="Grid Table 6 Colorful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91" w:customStyle="1">
    <w:name w:val="Grid Table 6 Colorful - Accent 1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92" w:customStyle="1">
    <w:name w:val="Grid Table 6 Colorful - Accent 2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93" w:customStyle="1">
    <w:name w:val="Grid Table 6 Colorful - Accent 3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94" w:customStyle="1">
    <w:name w:val="Grid Table 6 Colorful - Accent 4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95" w:customStyle="1">
    <w:name w:val="Grid Table 6 Colorful - Accent 5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96" w:customStyle="1">
    <w:name w:val="Grid Table 6 Colorful - Accent 6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97">
    <w:name w:val="Grid Table 7 Colorful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7 Colorful - Accent 1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7 Colorful - Accent 2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7 Colorful - Accent 3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7 Colorful - Accent 4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7 Colorful - Accent 5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Grid Table 7 Colorful - Accent 6"/>
    <w:basedOn w:val="70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List Table 1 Light"/>
    <w:basedOn w:val="70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1"/>
    <w:basedOn w:val="70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2"/>
    <w:basedOn w:val="70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1 Light - Accent 3"/>
    <w:basedOn w:val="70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4"/>
    <w:basedOn w:val="70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 w:customStyle="1">
    <w:name w:val="List Table 1 Light - Accent 5"/>
    <w:basedOn w:val="70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 w:customStyle="1">
    <w:name w:val="List Table 1 Light - Accent 6"/>
    <w:basedOn w:val="70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2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2" w:customStyle="1">
    <w:name w:val="List Table 2 - Accent 1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2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14" w:customStyle="1">
    <w:name w:val="List Table 2 - Accent 3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15" w:customStyle="1">
    <w:name w:val="List Table 2 - Accent 4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16" w:customStyle="1">
    <w:name w:val="List Table 2 - Accent 5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17" w:customStyle="1">
    <w:name w:val="List Table 2 - Accent 6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18">
    <w:name w:val="List Table 3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1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2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3 - Accent 3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4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 w:customStyle="1">
    <w:name w:val="List Table 3 - Accent 5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3 - Accent 6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4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4 - Accent 1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2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4 - Accent 3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4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 w:customStyle="1">
    <w:name w:val="List Table 4 - Accent 5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 w:customStyle="1">
    <w:name w:val="List Table 4 - Accent 6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5 Dark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 w:customStyle="1">
    <w:name w:val="List Table 5 Dark - Accent 1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 w:customStyle="1">
    <w:name w:val="List Table 5 Dark - Accent 2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 w:customStyle="1">
    <w:name w:val="List Table 5 Dark - Accent 3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6" w:customStyle="1">
    <w:name w:val="List Table 5 Dark - Accent 4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7" w:customStyle="1">
    <w:name w:val="List Table 5 Dark - Accent 5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8" w:customStyle="1">
    <w:name w:val="List Table 5 Dark - Accent 6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9">
    <w:name w:val="List Table 6 Colorful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40" w:customStyle="1">
    <w:name w:val="List Table 6 Colorful - Accent 1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41" w:customStyle="1">
    <w:name w:val="List Table 6 Colorful - Accent 2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42" w:customStyle="1">
    <w:name w:val="List Table 6 Colorful - Accent 3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43" w:customStyle="1">
    <w:name w:val="List Table 6 Colorful - Accent 4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44" w:customStyle="1">
    <w:name w:val="List Table 6 Colorful - Accent 5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45" w:customStyle="1">
    <w:name w:val="List Table 6 Colorful - Accent 6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46">
    <w:name w:val="List Table 7 Colorful"/>
    <w:basedOn w:val="70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7 Colorful - Accent 1"/>
    <w:basedOn w:val="70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7 Colorful - Accent 2"/>
    <w:basedOn w:val="70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7 Colorful - Accent 3"/>
    <w:basedOn w:val="70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7 Colorful - Accent 4"/>
    <w:basedOn w:val="70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st Table 7 Colorful - Accent 5"/>
    <w:basedOn w:val="70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 w:customStyle="1">
    <w:name w:val="List Table 7 Colorful - Accent 6"/>
    <w:basedOn w:val="70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 w:customStyle="1">
    <w:name w:val="Lined - Accent"/>
    <w:basedOn w:val="70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4" w:customStyle="1">
    <w:name w:val="Lined - Accent 1"/>
    <w:basedOn w:val="70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55" w:customStyle="1">
    <w:name w:val="Lined - Accent 2"/>
    <w:basedOn w:val="70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56" w:customStyle="1">
    <w:name w:val="Lined - Accent 3"/>
    <w:basedOn w:val="70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57" w:customStyle="1">
    <w:name w:val="Lined - Accent 4"/>
    <w:basedOn w:val="70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58" w:customStyle="1">
    <w:name w:val="Lined - Accent 5"/>
    <w:basedOn w:val="70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59" w:customStyle="1">
    <w:name w:val="Lined - Accent 6"/>
    <w:basedOn w:val="70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60" w:customStyle="1">
    <w:name w:val="Bordered &amp; Lined - Accent"/>
    <w:basedOn w:val="70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61" w:customStyle="1">
    <w:name w:val="Bordered &amp; Lined - Accent 1"/>
    <w:basedOn w:val="70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62" w:customStyle="1">
    <w:name w:val="Bordered &amp; Lined - Accent 2"/>
    <w:basedOn w:val="70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63" w:customStyle="1">
    <w:name w:val="Bordered &amp; Lined - Accent 3"/>
    <w:basedOn w:val="70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64" w:customStyle="1">
    <w:name w:val="Bordered &amp; Lined - Accent 4"/>
    <w:basedOn w:val="70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65" w:customStyle="1">
    <w:name w:val="Bordered &amp; Lined - Accent 5"/>
    <w:basedOn w:val="70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66" w:customStyle="1">
    <w:name w:val="Bordered &amp; Lined - Accent 6"/>
    <w:basedOn w:val="70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67" w:customStyle="1">
    <w:name w:val="Bordered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8" w:customStyle="1">
    <w:name w:val="Bordered - Accent 1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69" w:customStyle="1">
    <w:name w:val="Bordered - Accent 2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70" w:customStyle="1">
    <w:name w:val="Bordered - Accent 3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71" w:customStyle="1">
    <w:name w:val="Bordered - Accent 4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72" w:customStyle="1">
    <w:name w:val="Bordered - Accent 5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73" w:customStyle="1">
    <w:name w:val="Bordered - Accent 6"/>
    <w:basedOn w:val="70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74">
    <w:name w:val="Hyperlink"/>
    <w:uiPriority w:val="99"/>
    <w:unhideWhenUsed/>
    <w:rPr>
      <w:color w:val="0563c1" w:themeColor="hyperlink"/>
      <w:u w:val="single"/>
    </w:rPr>
  </w:style>
  <w:style w:type="paragraph" w:styleId="875">
    <w:name w:val="footnote text"/>
    <w:basedOn w:val="694"/>
    <w:link w:val="876"/>
    <w:uiPriority w:val="99"/>
    <w:semiHidden/>
    <w:unhideWhenUsed/>
    <w:pPr>
      <w:spacing w:after="40" w:line="240" w:lineRule="auto"/>
    </w:pPr>
    <w:rPr>
      <w:sz w:val="18"/>
    </w:rPr>
  </w:style>
  <w:style w:type="character" w:styleId="876" w:customStyle="1">
    <w:name w:val="Текст сноски Знак"/>
    <w:link w:val="875"/>
    <w:uiPriority w:val="99"/>
    <w:rPr>
      <w:sz w:val="18"/>
    </w:rPr>
  </w:style>
  <w:style w:type="character" w:styleId="877">
    <w:name w:val="footnote reference"/>
    <w:uiPriority w:val="99"/>
    <w:unhideWhenUsed/>
    <w:rPr>
      <w:vertAlign w:val="superscript"/>
    </w:rPr>
  </w:style>
  <w:style w:type="paragraph" w:styleId="878">
    <w:name w:val="endnote text"/>
    <w:basedOn w:val="694"/>
    <w:link w:val="879"/>
    <w:uiPriority w:val="99"/>
    <w:semiHidden/>
    <w:unhideWhenUsed/>
    <w:pPr>
      <w:spacing w:after="0" w:line="240" w:lineRule="auto"/>
    </w:pPr>
    <w:rPr>
      <w:sz w:val="20"/>
    </w:rPr>
  </w:style>
  <w:style w:type="character" w:styleId="879" w:customStyle="1">
    <w:name w:val="Текст концевой сноски Знак"/>
    <w:link w:val="878"/>
    <w:uiPriority w:val="99"/>
    <w:rPr>
      <w:sz w:val="20"/>
    </w:rPr>
  </w:style>
  <w:style w:type="character" w:styleId="880">
    <w:name w:val="endnote reference"/>
    <w:uiPriority w:val="99"/>
    <w:semiHidden/>
    <w:unhideWhenUsed/>
    <w:rPr>
      <w:vertAlign w:val="superscript"/>
    </w:rPr>
  </w:style>
  <w:style w:type="paragraph" w:styleId="881">
    <w:name w:val="toc 1"/>
    <w:basedOn w:val="694"/>
    <w:next w:val="694"/>
    <w:uiPriority w:val="39"/>
    <w:unhideWhenUsed/>
    <w:pPr>
      <w:spacing w:after="57"/>
    </w:pPr>
  </w:style>
  <w:style w:type="paragraph" w:styleId="882">
    <w:name w:val="toc 2"/>
    <w:basedOn w:val="694"/>
    <w:next w:val="694"/>
    <w:uiPriority w:val="39"/>
    <w:unhideWhenUsed/>
    <w:pPr>
      <w:ind w:left="283"/>
      <w:spacing w:after="57"/>
    </w:pPr>
  </w:style>
  <w:style w:type="paragraph" w:styleId="883">
    <w:name w:val="toc 3"/>
    <w:basedOn w:val="694"/>
    <w:next w:val="694"/>
    <w:uiPriority w:val="39"/>
    <w:unhideWhenUsed/>
    <w:pPr>
      <w:ind w:left="567"/>
      <w:spacing w:after="57"/>
    </w:pPr>
  </w:style>
  <w:style w:type="paragraph" w:styleId="884">
    <w:name w:val="toc 4"/>
    <w:basedOn w:val="694"/>
    <w:next w:val="694"/>
    <w:uiPriority w:val="39"/>
    <w:unhideWhenUsed/>
    <w:pPr>
      <w:ind w:left="850"/>
      <w:spacing w:after="57"/>
    </w:pPr>
  </w:style>
  <w:style w:type="paragraph" w:styleId="885">
    <w:name w:val="toc 5"/>
    <w:basedOn w:val="694"/>
    <w:next w:val="694"/>
    <w:uiPriority w:val="39"/>
    <w:unhideWhenUsed/>
    <w:pPr>
      <w:ind w:left="1134"/>
      <w:spacing w:after="57"/>
    </w:pPr>
  </w:style>
  <w:style w:type="paragraph" w:styleId="886">
    <w:name w:val="toc 6"/>
    <w:basedOn w:val="694"/>
    <w:next w:val="694"/>
    <w:uiPriority w:val="39"/>
    <w:unhideWhenUsed/>
    <w:pPr>
      <w:ind w:left="1417"/>
      <w:spacing w:after="57"/>
    </w:pPr>
  </w:style>
  <w:style w:type="paragraph" w:styleId="887">
    <w:name w:val="toc 7"/>
    <w:basedOn w:val="694"/>
    <w:next w:val="694"/>
    <w:uiPriority w:val="39"/>
    <w:unhideWhenUsed/>
    <w:pPr>
      <w:ind w:left="1701"/>
      <w:spacing w:after="57"/>
    </w:pPr>
  </w:style>
  <w:style w:type="paragraph" w:styleId="888">
    <w:name w:val="toc 8"/>
    <w:basedOn w:val="694"/>
    <w:next w:val="694"/>
    <w:uiPriority w:val="39"/>
    <w:unhideWhenUsed/>
    <w:pPr>
      <w:ind w:left="1984"/>
      <w:spacing w:after="57"/>
    </w:pPr>
  </w:style>
  <w:style w:type="paragraph" w:styleId="889">
    <w:name w:val="toc 9"/>
    <w:basedOn w:val="694"/>
    <w:next w:val="694"/>
    <w:uiPriority w:val="39"/>
    <w:unhideWhenUsed/>
    <w:pPr>
      <w:ind w:left="2268"/>
      <w:spacing w:after="57"/>
    </w:pPr>
  </w:style>
  <w:style w:type="paragraph" w:styleId="890">
    <w:name w:val="TOC Heading"/>
    <w:uiPriority w:val="39"/>
    <w:unhideWhenUsed/>
  </w:style>
  <w:style w:type="paragraph" w:styleId="891">
    <w:name w:val="table of figures"/>
    <w:basedOn w:val="694"/>
    <w:next w:val="694"/>
    <w:uiPriority w:val="99"/>
    <w:unhideWhenUsed/>
    <w:pPr>
      <w:spacing w:after="0"/>
    </w:pPr>
  </w:style>
  <w:style w:type="paragraph" w:styleId="892">
    <w:name w:val="No Spacing"/>
    <w:basedOn w:val="694"/>
    <w:uiPriority w:val="1"/>
    <w:qFormat/>
    <w:pPr>
      <w:spacing w:after="0" w:line="240" w:lineRule="auto"/>
    </w:pPr>
  </w:style>
  <w:style w:type="paragraph" w:styleId="893">
    <w:name w:val="List Paragraph"/>
    <w:basedOn w:val="694"/>
    <w:uiPriority w:val="34"/>
    <w:qFormat/>
    <w:pPr>
      <w:contextualSpacing/>
      <w:ind w:left="720"/>
    </w:pPr>
  </w:style>
  <w:style w:type="paragraph" w:styleId="894" w:customStyle="1">
    <w:name w:val="Нормальный (таблица)"/>
    <w:pPr>
      <w:ind w:firstLine="720"/>
      <w:jc w:val="both"/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 CYR" w:hAnsi="Times New Roman CYR" w:eastAsia="Times New Roman CYR" w:cs="Times New Roman CYR"/>
      <w:sz w:val="24"/>
      <w:szCs w:val="24"/>
      <w:lang w:eastAsia="zh-CN" w:bidi="ru-RU"/>
    </w:rPr>
  </w:style>
  <w:style w:type="paragraph" w:styleId="895" w:customStyle="1">
    <w:name w:val="Прижатый влево"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 CYR" w:hAnsi="Times New Roman CYR" w:eastAsia="Times New Roman CYR" w:cs="Times New Roman CYR"/>
      <w:sz w:val="24"/>
      <w:szCs w:val="24"/>
      <w:lang w:eastAsia="zh-CN" w:bidi="ru-RU"/>
    </w:rPr>
  </w:style>
  <w:style w:type="character" w:styleId="896" w:customStyle="1">
    <w:name w:val="Гипертекстовая ссылка"/>
    <w:rPr>
      <w:rFonts w:ascii="Arial" w:hAnsi="Arial" w:eastAsia="Arial" w:cs="Arial"/>
      <w:b w:val="0"/>
      <w:bCs w:val="0"/>
      <w:color w:val="106bbe"/>
      <w:sz w:val="24"/>
      <w:szCs w:val="24"/>
      <w:lang w:val="ru-RU" w:bidi="ru-RU"/>
    </w:rPr>
  </w:style>
  <w:style w:type="paragraph" w:styleId="897">
    <w:name w:val="Revision"/>
    <w:hidden/>
    <w:uiPriority w:val="99"/>
    <w:semiHidden/>
    <w:pPr>
      <w:spacing w:after="0" w:line="240" w:lineRule="auto"/>
    </w:pPr>
  </w:style>
  <w:style w:type="character" w:styleId="898">
    <w:name w:val="annotation reference"/>
    <w:basedOn w:val="704"/>
    <w:uiPriority w:val="99"/>
    <w:semiHidden/>
    <w:unhideWhenUsed/>
    <w:rPr>
      <w:sz w:val="16"/>
      <w:szCs w:val="16"/>
    </w:rPr>
  </w:style>
  <w:style w:type="paragraph" w:styleId="899">
    <w:name w:val="annotation text"/>
    <w:basedOn w:val="694"/>
    <w:link w:val="900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900" w:customStyle="1">
    <w:name w:val="Текст примечания Знак"/>
    <w:basedOn w:val="704"/>
    <w:link w:val="899"/>
    <w:uiPriority w:val="99"/>
    <w:semiHidden/>
    <w:rPr>
      <w:sz w:val="20"/>
      <w:szCs w:val="20"/>
    </w:rPr>
  </w:style>
  <w:style w:type="paragraph" w:styleId="901">
    <w:name w:val="annotation subject"/>
    <w:basedOn w:val="899"/>
    <w:next w:val="899"/>
    <w:link w:val="902"/>
    <w:uiPriority w:val="99"/>
    <w:semiHidden/>
    <w:unhideWhenUsed/>
    <w:rPr>
      <w:b/>
      <w:bCs/>
    </w:rPr>
  </w:style>
  <w:style w:type="character" w:styleId="902" w:customStyle="1">
    <w:name w:val="Тема примечания Знак"/>
    <w:basedOn w:val="900"/>
    <w:link w:val="901"/>
    <w:uiPriority w:val="99"/>
    <w:semiHidden/>
    <w:rPr>
      <w:b/>
      <w:bCs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Ольховикова Наталья Юрьевна</dc:creator>
  <cp:lastModifiedBy>eav@NSO.LOC</cp:lastModifiedBy>
  <cp:revision>25</cp:revision>
  <dcterms:created xsi:type="dcterms:W3CDTF">2026-02-17T10:35:00Z</dcterms:created>
  <dcterms:modified xsi:type="dcterms:W3CDTF">2026-09-23T02:45:17Z</dcterms:modified>
</cp:coreProperties>
</file>