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5386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20</w:t>
      </w:r>
      <w:r/>
    </w:p>
    <w:p>
      <w:pPr>
        <w:pStyle w:val="836"/>
        <w:ind w:left="5386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/>
    </w:p>
    <w:p>
      <w:pPr>
        <w:pStyle w:val="836"/>
        <w:ind w:left="5386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pStyle w:val="836"/>
        <w:ind w:left="5386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</w:t>
      </w:r>
      <w:r/>
    </w:p>
    <w:p>
      <w:pPr>
        <w:pStyle w:val="836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редоставления и распределения субсидий местным бюджетам на оплату технологического присоединения к электрическим сетям земельных участков, предоставленных многодетным семьям государственной программы Новосибирской области «Жилищно-коммунальное хозяйство Но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восибирской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I.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8"/>
        <w:jc w:val="both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и распределения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возмещение части затрат по созданию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инженерной инфраструктуры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программы Новосибирской области «Жилищно-коммунальное хозяйство Новосибирской области» (далее - Пор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ядок)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регламентирует предоставление и расходование субсидий местным бюджетам муниципальных районов, муниципальных округов Новосибирской области (далее - местные бюджеты) из областного бюджета Новосибирской области (далее - областной бюдж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возмещение затрат на оплату технологического присоединения к электрическим сетям земельных участков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предоставленных многодетным семьям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имеющим трех и более детей (далее - оплата технологического присоединения)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36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gree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green"/>
        </w:rPr>
      </w:r>
      <w:r>
        <w:rPr>
          <w:rFonts w:ascii="Times New Roman" w:hAnsi="Times New Roman" w:eastAsia="Times New Roman" w:cs="Times New Roman"/>
          <w:sz w:val="28"/>
          <w:szCs w:val="28"/>
          <w:highlight w:val="green"/>
        </w:rPr>
      </w:r>
      <w:r>
        <w:rPr>
          <w:rFonts w:ascii="Times New Roman" w:hAnsi="Times New Roman" w:eastAsia="Times New Roman" w:cs="Times New Roman"/>
          <w:sz w:val="28"/>
          <w:szCs w:val="28"/>
          <w:highlight w:val="green"/>
        </w:rPr>
      </w:r>
    </w:p>
    <w:p>
      <w:pPr>
        <w:pStyle w:val="83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Целевое назначение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предоставления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государственной поддержки муниципальным образованиям Новосибирской области (далее – Получате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оплату технологического присоединения.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Субсидии предоставляются Получате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лям в пределах бюджетных ассигнований и лимит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бюджетных обязательств, предусмотренных министерству жилищно-коммунального хозяйства и энергетики Новосибирской области (далее - ГРБС), в порядке составления и ведения сводной бюджетной росписи и кассового плана областного бюджета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распределения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предельных уровней 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Распределение су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бсидий Получателям из областного бюджета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оплату технологического присоединения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осуществляется в пределах бюджетных ассигнований и лимитов бюд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жетных обязательств, установленных ГРБС.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 распределении субсидий между местны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 бюджетами объем субсидии не может превышать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с учетом предельно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уровня софинансирования.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уровней софинансирования на очередной финансовый год и плановый период, для соответствующего муниц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ипального образования.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азмер субсидии, предоставляемой на соответствующий финансовый год местному бюджету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оплату технологического присоединения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определяется как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разница между стоимостью, обозначенной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проекте 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 осуществлении технологического присоед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инения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электрическим сетям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(далее - проект ДТП),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размером софинансирования из местного бюджета.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местными бюджетами с учетом предельных уровней софинансирования, включая критерии отбора муниципальных образований для предоставления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на основании информации,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представленной органами местного самоуправления муниципальных образований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 предварительной стоимости мероприятий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оплату технологического присоединения в соответствии с проектами ДТП.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Получатели должны соответствовать следующим критериям отбора: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наличие сведений на кадастровой карте муниципальных районов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о расположении земельного участка/земельных участков, планируемых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предоставлению многодетным семьям,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имеющим трех и более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836"/>
        <w:ind w:firstLine="709"/>
        <w:jc w:val="both"/>
        <w:rPr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наличие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личном кабинете Получателя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сайте территориальной сетевой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ДТП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 требуемой мощностью до 150 кВт напряжением 0,4 кВ,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 указанной стоимостью технологического присоединения к электрическим сетям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на основании поданной заявки, соответствующей п. 12(1)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 сетям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утвержденных постановлением Правительства РФ от 27.12.2004 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 861.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3) подтверждение (гарантийное письмо) о планируемых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предоставлению земельных участков многодетным семьям,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имеющим трех и более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на оплату технологического присоединения которых предоставляется субсидия.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бюджетам устанавливается законом Новосибирской области об областном бюджете на соответствующий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условия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Основанием для предоставления субсидии является соглашение о предоставлении субсидии, заключаемое между ГРБС и получателем, в соответствии с типовой формой, утвержденной приказом министерства финансов и налоговой политики Новосибирской области от 09.01.2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№ 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 (далее - соглашение). Соглашение заключается не позднее 30 календарных дней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дня доведения лимитов бюджетных обязательств министерством финансов и налоговой политики Новосибирской области до ГРБС.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в себе положения, указанные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8 </w:t>
      </w:r>
      <w:r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 бюджетам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установленных постановлением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 03.03.2020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40-п.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8. </w:t>
      </w:r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документов (гарантийных писем), о последующем предоставлением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земельного участка многодетным семьям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имеющим трех и более детей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ГРБС копий следующих документов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заявок на предоставление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копий проектов ДТП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 требуемой мощностью до 150 кВт напряжением 0,4 кВ,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являющихся основанием для оплаты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технологического присоединения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заявки на участие в мероприятиях государственной программы принимаются от муниципальных районов и городских округов Новосибирской области МЖКХиЭ НСО не позднее 1 июля года, предшествующего году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технологического присоединени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я,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согласно приложению к настояще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 Положению;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</w:t>
      </w:r>
      <w:r>
        <w:rPr>
          <w:rFonts w:ascii="Times New Roman" w:hAnsi="Times New Roman" w:cs="Times New Roman"/>
          <w:sz w:val="28"/>
          <w:szCs w:val="28"/>
        </w:rPr>
        <w:t xml:space="preserve">орядками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3 рабочих дней со дня ее поступления.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Основанием для отказа в предоставлении субсиди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непредставление (представление не в полном объеме либо с нарушением сроков) документов, указанных в подпункте 2-3 пункта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 настоящего Порядка;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неисполнение условий предоставления субсиди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предусмотренных подпунктами 1 -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пункта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 настоящего Порядка.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нарушения получателем условий предоставления субсиди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установленны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х настоящим Порядком, ГРБС в течение 2 рабочих дней со дня выявления нарушения направляет получателю уведомление об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отказе в предоставлении субсидий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указанием оснований для отказа.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оглашение о предоставлении субсидий, дополнительное соглашение о внесении в него изменений, а также дополнительное соглашение о расторжении соглашения, заключаются в соответствии с типовой формой, установленной министерством финансов и налоговой политики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Перечисление субсидий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редоставление администрацией муниципального образования заявки, указанной в абзаце первом настоящего пункта, осуществляется при условии наличия неиспользованного остатка субсидий, предоставленных ранее на аналогичные цели, в объеме, не превышающем 5% от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щего объема субсидий, запланированных к предоставлению в соответствующем финансовом году, или его отсутствия.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Условия расходования субсиди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существление расходов производится с лицевых счетов Получателя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проекта ДТП;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Результаты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Результатом предоставления субсидии в текущем финансовом году является наличие акта о выполненном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технологическом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присоединении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электрическим сетям земельных участков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предоставленных многодетным семьям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имеющим трех и более детей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результата, указанного в настоящем пункте, должно быть установлено 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Порядок оценки эффе</w:t>
      </w:r>
      <w:r>
        <w:rPr>
          <w:rFonts w:ascii="Times New Roman" w:hAnsi="Times New Roman" w:cs="Times New Roman"/>
          <w:sz w:val="28"/>
          <w:szCs w:val="28"/>
        </w:rPr>
        <w:t xml:space="preserve">ктивности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ГРБС на основе отчета о достижении показателей результатов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представляемого П</w:t>
      </w:r>
      <w:r>
        <w:rPr>
          <w:rFonts w:ascii="Times New Roman" w:hAnsi="Times New Roman" w:cs="Times New Roman"/>
          <w:sz w:val="28"/>
          <w:szCs w:val="28"/>
        </w:rPr>
        <w:t xml:space="preserve">олучателем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является достижение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су</w:t>
      </w:r>
      <w:r>
        <w:rPr>
          <w:rFonts w:ascii="Times New Roman" w:hAnsi="Times New Roman" w:cs="Times New Roman"/>
          <w:sz w:val="28"/>
          <w:szCs w:val="28"/>
        </w:rPr>
        <w:t xml:space="preserve">бсиди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получателем не достигнуто установленное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оглашением значение показател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субсиди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о</w:t>
      </w:r>
      <w:r>
        <w:rPr>
          <w:rFonts w:ascii="Times New Roman" w:hAnsi="Times New Roman" w:cs="Times New Roman"/>
          <w:sz w:val="28"/>
          <w:szCs w:val="28"/>
        </w:rPr>
        <w:t xml:space="preserve">пределен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40-п.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Основания и порядок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 ответственности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условий соглашений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ГРБС и орган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обязательную проверку соблюдения условий, целей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Остаток бюджетных средств, не использованный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областной бюджет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за нецелевое использование субсидии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Получатель несет ответственность за недостижение результата предоставления субсидии, установленного в 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6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5954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распределения субсидий местным бюджетам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униципальных образований Новосибирской области на оплату технологического присоединения к электрическим сетям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многодетным семьям»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5954"/>
        <w:jc w:val="righ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Форма</w:t>
      </w:r>
      <w:r/>
    </w:p>
    <w:p>
      <w:pPr>
        <w:pStyle w:val="836"/>
        <w:ind w:left="5954"/>
        <w:jc w:val="right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6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ЗАЯВКА</w:t>
      </w:r>
      <w:r/>
    </w:p>
    <w:p>
      <w:pPr>
        <w:pStyle w:val="836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администрации __________________ муниципального района</w:t>
      </w:r>
      <w:r/>
    </w:p>
    <w:p>
      <w:pPr>
        <w:pStyle w:val="836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(городского округа) НСО на ______ год на участие</w:t>
      </w:r>
      <w:r/>
    </w:p>
    <w:p>
      <w:pPr>
        <w:pStyle w:val="836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мероприятиях государственной программы Новосибирской</w:t>
      </w:r>
      <w:r/>
    </w:p>
    <w:p>
      <w:pPr>
        <w:pStyle w:val="836"/>
        <w:ind w:left="0" w:right="0" w:firstLine="0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области «Жилищно-коммунальное хозяйство</w:t>
      </w:r>
      <w:r/>
    </w:p>
    <w:p>
      <w:pPr>
        <w:pStyle w:val="836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6236"/>
        <w:gridCol w:w="7342"/>
      </w:tblGrid>
      <w:tr>
        <w:tblPrEx/>
        <w:trPr>
          <w:trHeight w:val="591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vAlign w:val="center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дастровые номера земельных участков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, планируемых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предоставлению многодетным семьям,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имеющим трех и более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  <w:p>
            <w:r/>
            <w:r/>
          </w:p>
        </w:tc>
        <w:tc>
          <w:tcPr>
            <w:tcW w:w="7342" w:type="dxa"/>
            <w:vAlign w:val="center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Реквизиты гарантийного письма (дата, номер) о планируемых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предоставлению земельных участков многодетным семьям,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имеющим трех и более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, на оплату технологического присоединения которых предоставляется субсидия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4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42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42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42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2024-11-20T05:42:43Z</dcterms:modified>
</cp:coreProperties>
</file>