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9D" w:rsidRDefault="00F75FE9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0609D" w:rsidRDefault="00F75FE9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70609D" w:rsidRDefault="00F75FE9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0609D" w:rsidRDefault="0070609D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0609D" w:rsidRDefault="0070609D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0609D" w:rsidRDefault="0070609D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0609D" w:rsidRDefault="0070609D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0609D" w:rsidRDefault="00F75FE9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</w:t>
      </w:r>
      <w:r>
        <w:rPr>
          <w:spacing w:val="-4"/>
          <w:sz w:val="28"/>
          <w:szCs w:val="28"/>
        </w:rPr>
        <w:t>й</w:t>
      </w:r>
      <w:r>
        <w:rPr>
          <w:spacing w:val="-4"/>
          <w:sz w:val="28"/>
          <w:szCs w:val="28"/>
        </w:rPr>
        <w:t xml:space="preserve"> в постановление Правительства Новосибирской области </w:t>
      </w:r>
    </w:p>
    <w:p w:rsidR="0070609D" w:rsidRDefault="00F75FE9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 18.01.2022 № 3-п</w:t>
      </w:r>
    </w:p>
    <w:p w:rsidR="0070609D" w:rsidRDefault="0070609D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70609D" w:rsidRDefault="0070609D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70609D" w:rsidRDefault="00F75FE9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уточнением сметной стоимости создания объектов инженерной инфраструктуры индустриального парка «Южный ПЛП», изменением технических характеристик (мощности)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стоимости реализации инвестиционного проекта по годам, сроков ввода объектов в </w:t>
      </w:r>
      <w:r>
        <w:rPr>
          <w:rFonts w:ascii="Times New Roman" w:hAnsi="Times New Roman" w:cs="Times New Roman"/>
          <w:sz w:val="28"/>
          <w:szCs w:val="28"/>
        </w:rPr>
        <w:t xml:space="preserve">эксплуатацию и вложения инвестиций, а также увеличением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размера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pacing w:val="-4"/>
          <w:sz w:val="28"/>
          <w:szCs w:val="28"/>
        </w:rPr>
        <w:t>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70609D" w:rsidRDefault="00F75FE9">
      <w:pPr>
        <w:spacing w:before="0" w:after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Внести в постановление Правительства Новосибирской области от 18.01.2022 № 3-п «О предоставлении бюджетных инв</w:t>
      </w:r>
      <w:r>
        <w:rPr>
          <w:spacing w:val="-4"/>
          <w:sz w:val="28"/>
          <w:szCs w:val="28"/>
        </w:rPr>
        <w:t>естиций акционерному обществу «Управляющая компания «Промышленно-логистический парк» следующие изменения: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В наименовании слово «акционерному» заменить словом «Акционерному».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 В пункте 1</w:t>
      </w:r>
      <w:r>
        <w:rPr>
          <w:spacing w:val="-4"/>
          <w:sz w:val="28"/>
          <w:szCs w:val="28"/>
        </w:rPr>
        <w:t>: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1)</w:t>
      </w:r>
      <w:bookmarkStart w:id="0" w:name="_GoBack"/>
      <w:bookmarkEnd w:id="0"/>
      <w:r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слово «акционерному» заменить словом «Акционерному»</w:t>
      </w:r>
      <w:r>
        <w:rPr>
          <w:spacing w:val="-4"/>
          <w:sz w:val="28"/>
          <w:szCs w:val="28"/>
        </w:rPr>
        <w:t>;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 </w:t>
      </w:r>
      <w:r>
        <w:rPr>
          <w:spacing w:val="-4"/>
          <w:sz w:val="28"/>
          <w:szCs w:val="28"/>
        </w:rPr>
        <w:t>слов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«инженерной</w:t>
      </w:r>
      <w:r>
        <w:rPr>
          <w:spacing w:val="-4"/>
          <w:sz w:val="28"/>
          <w:szCs w:val="28"/>
        </w:rPr>
        <w:t xml:space="preserve"> инфраструктуры</w:t>
      </w:r>
      <w:r>
        <w:rPr>
          <w:spacing w:val="-4"/>
          <w:sz w:val="28"/>
          <w:szCs w:val="28"/>
        </w:rPr>
        <w:t xml:space="preserve">» </w:t>
      </w:r>
      <w:r>
        <w:rPr>
          <w:spacing w:val="-4"/>
          <w:sz w:val="28"/>
          <w:szCs w:val="28"/>
        </w:rPr>
        <w:t>заменить</w:t>
      </w:r>
      <w:r>
        <w:rPr>
          <w:spacing w:val="-4"/>
          <w:sz w:val="28"/>
          <w:szCs w:val="28"/>
        </w:rPr>
        <w:t xml:space="preserve"> словами «</w:t>
      </w:r>
      <w:r>
        <w:rPr>
          <w:spacing w:val="-4"/>
          <w:sz w:val="28"/>
          <w:szCs w:val="28"/>
        </w:rPr>
        <w:t>инженерной</w:t>
      </w:r>
      <w:r>
        <w:rPr>
          <w:spacing w:val="-4"/>
          <w:sz w:val="28"/>
          <w:szCs w:val="28"/>
        </w:rPr>
        <w:t>, дорожно-транспортной инфраструктуры (далее – объекты инфраструктуры)».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 В пункте 2 слово «акционерному» заменить словом «Акционерному».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 В пункте 3: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1) слово «инженерной</w:t>
      </w:r>
      <w:r>
        <w:rPr>
          <w:spacing w:val="-4"/>
          <w:sz w:val="28"/>
          <w:szCs w:val="28"/>
        </w:rPr>
        <w:t>» исключить;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 слово «акционерное» заменить словом «Акционерное».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 Пункт 4 изложить в следующей редакции: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«4. Предоставить бюджетные инвестиции Акционерному обществу «Управляющая компания «Промышленно-логистический парк» в объекты капитального строитель</w:t>
      </w:r>
      <w:r>
        <w:rPr>
          <w:spacing w:val="-4"/>
          <w:sz w:val="28"/>
          <w:szCs w:val="28"/>
        </w:rPr>
        <w:t>ства в 2022 году в объеме 538 971,0 тыс. рублей, в 2024 году в объеме 219 671,6 тыс. рублей.».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 В пункте 5: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1) слов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«инженерной» исключить;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 слово «акционерному» заменить словом «Акционерному»;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3) дополнить </w:t>
      </w:r>
      <w:r>
        <w:rPr>
          <w:spacing w:val="-4"/>
          <w:sz w:val="28"/>
          <w:szCs w:val="28"/>
        </w:rPr>
        <w:t xml:space="preserve">абзацами </w:t>
      </w:r>
      <w:r>
        <w:rPr>
          <w:spacing w:val="-4"/>
          <w:sz w:val="28"/>
          <w:szCs w:val="28"/>
        </w:rPr>
        <w:t>шестым</w:t>
      </w:r>
      <w:r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седьмым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следующего содержания: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«до 31.12.2024 предоставить средства областного бюджета Новосибирской области на создание объектов инфраструктуры индустриального парка «Южный ПЛП» Акционерному обществу «Управляющая компания «Промышленно-логистический парк» в сумме </w:t>
      </w:r>
      <w:r>
        <w:rPr>
          <w:spacing w:val="-4"/>
          <w:sz w:val="28"/>
          <w:szCs w:val="28"/>
        </w:rPr>
        <w:t>219 671,6 тыс. рублей;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до 24.01.2025 приобрести в государственную собственность Новосибирской области акции дополнительного выпуска на сумму 219 671,6 тыс. рублей.».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7. Пункт 6 изложить в следующей редакции: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«6. Предложить Акционерному обществу «Управляюща</w:t>
      </w:r>
      <w:r>
        <w:rPr>
          <w:spacing w:val="-4"/>
          <w:sz w:val="28"/>
          <w:szCs w:val="28"/>
        </w:rPr>
        <w:t>я компания «Промышленно-логистический парк» (Колмаков А.В.):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1) до 15.04.2022 осуществить размещение дополнительных акций на сумму </w:t>
      </w:r>
      <w:r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522 224,6 тыс. рублей;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 до 30.11.2022 осуществить размещение дополнительных акций на сумму 16 746,4 тыс. рублей;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3) до 24.</w:t>
      </w:r>
      <w:r>
        <w:rPr>
          <w:spacing w:val="-4"/>
          <w:sz w:val="28"/>
          <w:szCs w:val="28"/>
        </w:rPr>
        <w:t xml:space="preserve">01.2025 осуществить размещение дополнительных акций на сумму </w:t>
      </w:r>
      <w:r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>219 671,6 тыс. рублей;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4)</w:t>
      </w:r>
      <w:r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 xml:space="preserve">направить предоставленные бюджетные инвестиции на создание объектов </w:t>
      </w:r>
      <w:r>
        <w:rPr>
          <w:spacing w:val="-4"/>
          <w:sz w:val="28"/>
          <w:szCs w:val="28"/>
        </w:rPr>
        <w:t>инфраструктуры индустриального парка «Южный ПЛП».</w:t>
      </w:r>
      <w:r>
        <w:rPr>
          <w:spacing w:val="-4"/>
          <w:sz w:val="28"/>
          <w:szCs w:val="28"/>
        </w:rPr>
        <w:t>».</w:t>
      </w:r>
    </w:p>
    <w:p w:rsidR="0070609D" w:rsidRDefault="00F75FE9">
      <w:pPr>
        <w:pStyle w:val="Web1Web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8. Приложение </w:t>
      </w:r>
      <w:r>
        <w:rPr>
          <w:spacing w:val="-4"/>
          <w:sz w:val="28"/>
          <w:szCs w:val="28"/>
        </w:rPr>
        <w:t xml:space="preserve">изложить в редакции согласно </w:t>
      </w:r>
      <w:proofErr w:type="gramStart"/>
      <w:r>
        <w:rPr>
          <w:spacing w:val="-4"/>
          <w:sz w:val="28"/>
          <w:szCs w:val="28"/>
        </w:rPr>
        <w:t>приложению</w:t>
      </w:r>
      <w:proofErr w:type="gramEnd"/>
      <w:r>
        <w:rPr>
          <w:spacing w:val="-4"/>
          <w:sz w:val="28"/>
          <w:szCs w:val="28"/>
        </w:rPr>
        <w:t xml:space="preserve"> к настоящему постановлению.</w:t>
      </w:r>
    </w:p>
    <w:p w:rsidR="0070609D" w:rsidRDefault="0070609D">
      <w:pPr>
        <w:spacing w:before="0" w:after="0"/>
        <w:jc w:val="both"/>
        <w:rPr>
          <w:spacing w:val="-4"/>
          <w:sz w:val="28"/>
          <w:szCs w:val="28"/>
        </w:rPr>
      </w:pPr>
    </w:p>
    <w:p w:rsidR="0070609D" w:rsidRDefault="0070609D">
      <w:pPr>
        <w:spacing w:before="0" w:after="0"/>
        <w:rPr>
          <w:spacing w:val="-4"/>
          <w:sz w:val="28"/>
          <w:szCs w:val="28"/>
        </w:rPr>
      </w:pPr>
    </w:p>
    <w:p w:rsidR="0070609D" w:rsidRDefault="0070609D">
      <w:pPr>
        <w:spacing w:before="0" w:after="0"/>
        <w:jc w:val="both"/>
        <w:rPr>
          <w:sz w:val="28"/>
          <w:szCs w:val="28"/>
        </w:rPr>
      </w:pPr>
    </w:p>
    <w:p w:rsidR="0070609D" w:rsidRDefault="00F75FE9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</w:t>
      </w:r>
      <w:r>
        <w:rPr>
          <w:sz w:val="28"/>
          <w:szCs w:val="28"/>
        </w:rPr>
        <w:t>кой области                                                    А.А. Травников</w:t>
      </w: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jc w:val="both"/>
        <w:rPr>
          <w:color w:val="000000"/>
          <w:sz w:val="20"/>
          <w:shd w:val="clear" w:color="auto" w:fill="FFFFFF"/>
        </w:rPr>
      </w:pPr>
    </w:p>
    <w:p w:rsidR="0070609D" w:rsidRDefault="0070609D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70609D" w:rsidRDefault="00F75FE9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Л.Н. Решетников</w:t>
      </w:r>
    </w:p>
    <w:p w:rsidR="0070609D" w:rsidRDefault="00F75FE9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  <w:sectPr w:rsidR="0070609D">
          <w:headerReference w:type="default" r:id="rId7"/>
          <w:footerReference w:type="first" r:id="rId8"/>
          <w:pgSz w:w="11909" w:h="16834"/>
          <w:pgMar w:top="1134" w:right="567" w:bottom="1134" w:left="1417" w:header="709" w:footer="709" w:gutter="0"/>
          <w:pgNumType w:start="1"/>
          <w:cols w:space="60"/>
          <w:titlePg/>
          <w:docGrid w:linePitch="360"/>
        </w:sectPr>
      </w:pPr>
      <w:r>
        <w:rPr>
          <w:color w:val="000000"/>
          <w:sz w:val="20"/>
          <w:shd w:val="clear" w:color="auto" w:fill="FFFFFF"/>
        </w:rPr>
        <w:t>238 66 81</w:t>
      </w:r>
    </w:p>
    <w:p w:rsidR="0070609D" w:rsidRDefault="00F75F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70609D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70609D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</w:p>
          <w:p w:rsidR="0070609D" w:rsidRDefault="00F75FE9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70609D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09D" w:rsidRDefault="0070609D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:rsidR="0070609D" w:rsidRDefault="00F75FE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70609D" w:rsidRDefault="00F75FE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70609D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F75FE9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70609D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09D" w:rsidRDefault="00F75FE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70609D" w:rsidRDefault="00F75FE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70609D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70609D">
            <w:pPr>
              <w:pStyle w:val="afd"/>
              <w:rPr>
                <w:bCs/>
              </w:rPr>
            </w:pPr>
          </w:p>
          <w:p w:rsidR="0070609D" w:rsidRDefault="00F75FE9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экономического развития </w:t>
            </w:r>
          </w:p>
          <w:p w:rsidR="0070609D" w:rsidRDefault="00F75FE9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70609D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09D" w:rsidRDefault="00F75FE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70609D" w:rsidRDefault="00F75FE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  <w:tr w:rsidR="0070609D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70609D">
            <w:pPr>
              <w:pStyle w:val="afd"/>
              <w:rPr>
                <w:bCs/>
              </w:rPr>
            </w:pPr>
          </w:p>
          <w:p w:rsidR="0070609D" w:rsidRDefault="00F75FE9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строительства </w:t>
            </w:r>
          </w:p>
          <w:p w:rsidR="0070609D" w:rsidRDefault="00F75FE9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70609D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09D" w:rsidRDefault="00F75FE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Богомолов</w:t>
            </w:r>
          </w:p>
          <w:p w:rsidR="0070609D" w:rsidRDefault="00F75FE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________2024 г.</w:t>
            </w:r>
          </w:p>
        </w:tc>
      </w:tr>
      <w:tr w:rsidR="0070609D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70609D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</w:p>
          <w:p w:rsidR="0070609D" w:rsidRDefault="00F75FE9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:rsidR="0070609D" w:rsidRDefault="00F75FE9">
            <w:pPr>
              <w:pStyle w:val="af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70609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09D" w:rsidRDefault="00F75FE9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70609D" w:rsidRDefault="00F75FE9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70609D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70609D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09D" w:rsidRDefault="0070609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0609D" w:rsidRDefault="0070609D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</w:tr>
    </w:tbl>
    <w:p w:rsidR="0070609D" w:rsidRDefault="0070609D"/>
    <w:sectPr w:rsidR="0070609D">
      <w:pgSz w:w="11909" w:h="16834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E9" w:rsidRDefault="00F75FE9">
      <w:pPr>
        <w:spacing w:after="0"/>
      </w:pPr>
      <w:r>
        <w:separator/>
      </w:r>
    </w:p>
  </w:endnote>
  <w:endnote w:type="continuationSeparator" w:id="0">
    <w:p w:rsidR="00F75FE9" w:rsidRDefault="00F75F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9D" w:rsidRDefault="007060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E9" w:rsidRDefault="00F75FE9">
      <w:pPr>
        <w:spacing w:after="0"/>
      </w:pPr>
      <w:r>
        <w:separator/>
      </w:r>
    </w:p>
  </w:footnote>
  <w:footnote w:type="continuationSeparator" w:id="0">
    <w:p w:rsidR="00F75FE9" w:rsidRDefault="00F75F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9D" w:rsidRDefault="00F75FE9">
    <w:pPr>
      <w:pStyle w:val="ac"/>
      <w:jc w:val="center"/>
      <w:rPr>
        <w:sz w:val="20"/>
        <w:szCs w:val="20"/>
      </w:rPr>
    </w:pPr>
    <w:r>
      <w:fldChar w:fldCharType="begin"/>
    </w:r>
    <w:r>
      <w:instrText>PAGE \* MERGEFORMAT</w:instrText>
    </w:r>
    <w:r>
      <w:fldChar w:fldCharType="separate"/>
    </w:r>
    <w:r w:rsidR="00713A53" w:rsidRPr="00713A5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70609D" w:rsidRDefault="0070609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E31"/>
    <w:multiLevelType w:val="hybridMultilevel"/>
    <w:tmpl w:val="EA7E914A"/>
    <w:lvl w:ilvl="0" w:tplc="36B64CBE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9CCCCB9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505088F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5D4C882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BE06967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D4B6FFA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A721D0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7A99A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AF64D9E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4D8635B"/>
    <w:multiLevelType w:val="hybridMultilevel"/>
    <w:tmpl w:val="ECC4BF6C"/>
    <w:lvl w:ilvl="0" w:tplc="1EF27406">
      <w:start w:val="1"/>
      <w:numFmt w:val="decimal"/>
      <w:lvlText w:val="%1."/>
      <w:lvlJc w:val="left"/>
      <w:pPr>
        <w:ind w:left="1068" w:hanging="360"/>
      </w:pPr>
    </w:lvl>
    <w:lvl w:ilvl="1" w:tplc="7C040B20">
      <w:start w:val="1"/>
      <w:numFmt w:val="lowerLetter"/>
      <w:lvlText w:val="%2."/>
      <w:lvlJc w:val="left"/>
      <w:pPr>
        <w:ind w:left="1788" w:hanging="360"/>
      </w:pPr>
    </w:lvl>
    <w:lvl w:ilvl="2" w:tplc="1A3CE574">
      <w:start w:val="1"/>
      <w:numFmt w:val="lowerRoman"/>
      <w:lvlText w:val="%3."/>
      <w:lvlJc w:val="right"/>
      <w:pPr>
        <w:ind w:left="2508" w:hanging="180"/>
      </w:pPr>
    </w:lvl>
    <w:lvl w:ilvl="3" w:tplc="2D9E6378">
      <w:start w:val="1"/>
      <w:numFmt w:val="decimal"/>
      <w:lvlText w:val="%4."/>
      <w:lvlJc w:val="left"/>
      <w:pPr>
        <w:ind w:left="3228" w:hanging="360"/>
      </w:pPr>
    </w:lvl>
    <w:lvl w:ilvl="4" w:tplc="4748EAB8">
      <w:start w:val="1"/>
      <w:numFmt w:val="lowerLetter"/>
      <w:lvlText w:val="%5."/>
      <w:lvlJc w:val="left"/>
      <w:pPr>
        <w:ind w:left="3948" w:hanging="360"/>
      </w:pPr>
    </w:lvl>
    <w:lvl w:ilvl="5" w:tplc="184EDAFE">
      <w:start w:val="1"/>
      <w:numFmt w:val="lowerRoman"/>
      <w:lvlText w:val="%6."/>
      <w:lvlJc w:val="right"/>
      <w:pPr>
        <w:ind w:left="4668" w:hanging="180"/>
      </w:pPr>
    </w:lvl>
    <w:lvl w:ilvl="6" w:tplc="F0DA94B4">
      <w:start w:val="1"/>
      <w:numFmt w:val="decimal"/>
      <w:lvlText w:val="%7."/>
      <w:lvlJc w:val="left"/>
      <w:pPr>
        <w:ind w:left="5388" w:hanging="360"/>
      </w:pPr>
    </w:lvl>
    <w:lvl w:ilvl="7" w:tplc="29DAF816">
      <w:start w:val="1"/>
      <w:numFmt w:val="lowerLetter"/>
      <w:lvlText w:val="%8."/>
      <w:lvlJc w:val="left"/>
      <w:pPr>
        <w:ind w:left="6108" w:hanging="360"/>
      </w:pPr>
    </w:lvl>
    <w:lvl w:ilvl="8" w:tplc="E82219F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9649AC"/>
    <w:multiLevelType w:val="hybridMultilevel"/>
    <w:tmpl w:val="03845D16"/>
    <w:lvl w:ilvl="0" w:tplc="909ADCF8">
      <w:start w:val="1"/>
      <w:numFmt w:val="decimal"/>
      <w:lvlText w:val="%1."/>
      <w:lvlJc w:val="left"/>
      <w:pPr>
        <w:ind w:left="1068" w:hanging="360"/>
      </w:pPr>
    </w:lvl>
    <w:lvl w:ilvl="1" w:tplc="A3CC3068">
      <w:start w:val="1"/>
      <w:numFmt w:val="lowerLetter"/>
      <w:lvlText w:val="%2."/>
      <w:lvlJc w:val="left"/>
      <w:pPr>
        <w:ind w:left="1788" w:hanging="360"/>
      </w:pPr>
    </w:lvl>
    <w:lvl w:ilvl="2" w:tplc="828818EE">
      <w:start w:val="1"/>
      <w:numFmt w:val="lowerRoman"/>
      <w:lvlText w:val="%3."/>
      <w:lvlJc w:val="right"/>
      <w:pPr>
        <w:ind w:left="2508" w:hanging="180"/>
      </w:pPr>
    </w:lvl>
    <w:lvl w:ilvl="3" w:tplc="E1DC4460">
      <w:start w:val="1"/>
      <w:numFmt w:val="decimal"/>
      <w:lvlText w:val="%4."/>
      <w:lvlJc w:val="left"/>
      <w:pPr>
        <w:ind w:left="3228" w:hanging="360"/>
      </w:pPr>
    </w:lvl>
    <w:lvl w:ilvl="4" w:tplc="A83EF04E">
      <w:start w:val="1"/>
      <w:numFmt w:val="lowerLetter"/>
      <w:lvlText w:val="%5."/>
      <w:lvlJc w:val="left"/>
      <w:pPr>
        <w:ind w:left="3948" w:hanging="360"/>
      </w:pPr>
    </w:lvl>
    <w:lvl w:ilvl="5" w:tplc="9918B956">
      <w:start w:val="1"/>
      <w:numFmt w:val="lowerRoman"/>
      <w:lvlText w:val="%6."/>
      <w:lvlJc w:val="right"/>
      <w:pPr>
        <w:ind w:left="4668" w:hanging="180"/>
      </w:pPr>
    </w:lvl>
    <w:lvl w:ilvl="6" w:tplc="B942AC20">
      <w:start w:val="1"/>
      <w:numFmt w:val="decimal"/>
      <w:lvlText w:val="%7."/>
      <w:lvlJc w:val="left"/>
      <w:pPr>
        <w:ind w:left="5388" w:hanging="360"/>
      </w:pPr>
    </w:lvl>
    <w:lvl w:ilvl="7" w:tplc="FC340C9A">
      <w:start w:val="1"/>
      <w:numFmt w:val="lowerLetter"/>
      <w:lvlText w:val="%8."/>
      <w:lvlJc w:val="left"/>
      <w:pPr>
        <w:ind w:left="6108" w:hanging="360"/>
      </w:pPr>
    </w:lvl>
    <w:lvl w:ilvl="8" w:tplc="DDF8051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614B4B"/>
    <w:multiLevelType w:val="hybridMultilevel"/>
    <w:tmpl w:val="9D44E4AA"/>
    <w:lvl w:ilvl="0" w:tplc="E662DA00">
      <w:start w:val="1"/>
      <w:numFmt w:val="decimal"/>
      <w:lvlText w:val="%1."/>
      <w:lvlJc w:val="left"/>
      <w:pPr>
        <w:ind w:left="900" w:hanging="360"/>
      </w:pPr>
    </w:lvl>
    <w:lvl w:ilvl="1" w:tplc="CAACBBA4">
      <w:start w:val="1"/>
      <w:numFmt w:val="lowerLetter"/>
      <w:lvlText w:val="%2."/>
      <w:lvlJc w:val="left"/>
      <w:pPr>
        <w:ind w:left="1620" w:hanging="360"/>
      </w:pPr>
    </w:lvl>
    <w:lvl w:ilvl="2" w:tplc="0FE63940">
      <w:start w:val="1"/>
      <w:numFmt w:val="lowerRoman"/>
      <w:lvlText w:val="%3."/>
      <w:lvlJc w:val="right"/>
      <w:pPr>
        <w:ind w:left="2340" w:hanging="180"/>
      </w:pPr>
    </w:lvl>
    <w:lvl w:ilvl="3" w:tplc="B5F85C24">
      <w:start w:val="1"/>
      <w:numFmt w:val="decimal"/>
      <w:lvlText w:val="%4."/>
      <w:lvlJc w:val="left"/>
      <w:pPr>
        <w:ind w:left="3060" w:hanging="360"/>
      </w:pPr>
    </w:lvl>
    <w:lvl w:ilvl="4" w:tplc="54B8853E">
      <w:start w:val="1"/>
      <w:numFmt w:val="lowerLetter"/>
      <w:lvlText w:val="%5."/>
      <w:lvlJc w:val="left"/>
      <w:pPr>
        <w:ind w:left="3780" w:hanging="360"/>
      </w:pPr>
    </w:lvl>
    <w:lvl w:ilvl="5" w:tplc="1BE0C9E4">
      <w:start w:val="1"/>
      <w:numFmt w:val="lowerRoman"/>
      <w:lvlText w:val="%6."/>
      <w:lvlJc w:val="right"/>
      <w:pPr>
        <w:ind w:left="4500" w:hanging="180"/>
      </w:pPr>
    </w:lvl>
    <w:lvl w:ilvl="6" w:tplc="D6D41CB0">
      <w:start w:val="1"/>
      <w:numFmt w:val="decimal"/>
      <w:lvlText w:val="%7."/>
      <w:lvlJc w:val="left"/>
      <w:pPr>
        <w:ind w:left="5220" w:hanging="360"/>
      </w:pPr>
    </w:lvl>
    <w:lvl w:ilvl="7" w:tplc="F31AD1B6">
      <w:start w:val="1"/>
      <w:numFmt w:val="lowerLetter"/>
      <w:lvlText w:val="%8."/>
      <w:lvlJc w:val="left"/>
      <w:pPr>
        <w:ind w:left="5940" w:hanging="360"/>
      </w:pPr>
    </w:lvl>
    <w:lvl w:ilvl="8" w:tplc="BE7C3B32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085A89"/>
    <w:multiLevelType w:val="hybridMultilevel"/>
    <w:tmpl w:val="EF88D3DE"/>
    <w:lvl w:ilvl="0" w:tplc="6D96AA38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B8B45838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F3BAB04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ADC91A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65A92A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7D8FD6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78E191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81CDDD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85E634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E3D7B62"/>
    <w:multiLevelType w:val="hybridMultilevel"/>
    <w:tmpl w:val="47725906"/>
    <w:lvl w:ilvl="0" w:tplc="BFB06858">
      <w:start w:val="2"/>
      <w:numFmt w:val="decimal"/>
      <w:lvlText w:val="%1."/>
      <w:lvlJc w:val="left"/>
      <w:pPr>
        <w:ind w:left="1068" w:hanging="360"/>
      </w:pPr>
    </w:lvl>
    <w:lvl w:ilvl="1" w:tplc="5F8C0042">
      <w:start w:val="1"/>
      <w:numFmt w:val="lowerLetter"/>
      <w:lvlText w:val="%2."/>
      <w:lvlJc w:val="left"/>
      <w:pPr>
        <w:ind w:left="1788" w:hanging="360"/>
      </w:pPr>
    </w:lvl>
    <w:lvl w:ilvl="2" w:tplc="43BE5AEA">
      <w:start w:val="1"/>
      <w:numFmt w:val="lowerRoman"/>
      <w:lvlText w:val="%3."/>
      <w:lvlJc w:val="right"/>
      <w:pPr>
        <w:ind w:left="2508" w:hanging="180"/>
      </w:pPr>
    </w:lvl>
    <w:lvl w:ilvl="3" w:tplc="4D4CCFEC">
      <w:start w:val="1"/>
      <w:numFmt w:val="decimal"/>
      <w:lvlText w:val="%4."/>
      <w:lvlJc w:val="left"/>
      <w:pPr>
        <w:ind w:left="3228" w:hanging="360"/>
      </w:pPr>
    </w:lvl>
    <w:lvl w:ilvl="4" w:tplc="4FCC96B6">
      <w:start w:val="1"/>
      <w:numFmt w:val="lowerLetter"/>
      <w:lvlText w:val="%5."/>
      <w:lvlJc w:val="left"/>
      <w:pPr>
        <w:ind w:left="3948" w:hanging="360"/>
      </w:pPr>
    </w:lvl>
    <w:lvl w:ilvl="5" w:tplc="55EA6538">
      <w:start w:val="1"/>
      <w:numFmt w:val="lowerRoman"/>
      <w:lvlText w:val="%6."/>
      <w:lvlJc w:val="right"/>
      <w:pPr>
        <w:ind w:left="4668" w:hanging="180"/>
      </w:pPr>
    </w:lvl>
    <w:lvl w:ilvl="6" w:tplc="79F08870">
      <w:start w:val="1"/>
      <w:numFmt w:val="decimal"/>
      <w:lvlText w:val="%7."/>
      <w:lvlJc w:val="left"/>
      <w:pPr>
        <w:ind w:left="5388" w:hanging="360"/>
      </w:pPr>
    </w:lvl>
    <w:lvl w:ilvl="7" w:tplc="B6B4CE16">
      <w:start w:val="1"/>
      <w:numFmt w:val="lowerLetter"/>
      <w:lvlText w:val="%8."/>
      <w:lvlJc w:val="left"/>
      <w:pPr>
        <w:ind w:left="6108" w:hanging="360"/>
      </w:pPr>
    </w:lvl>
    <w:lvl w:ilvl="8" w:tplc="C2A4A9F2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D8297D"/>
    <w:multiLevelType w:val="hybridMultilevel"/>
    <w:tmpl w:val="DA207D3C"/>
    <w:lvl w:ilvl="0" w:tplc="C4D6FE36">
      <w:start w:val="1"/>
      <w:numFmt w:val="decimal"/>
      <w:lvlText w:val="%1)"/>
      <w:lvlJc w:val="left"/>
      <w:pPr>
        <w:ind w:left="1069" w:hanging="360"/>
      </w:pPr>
    </w:lvl>
    <w:lvl w:ilvl="1" w:tplc="FE824FAE">
      <w:start w:val="1"/>
      <w:numFmt w:val="lowerLetter"/>
      <w:lvlText w:val="%2."/>
      <w:lvlJc w:val="left"/>
      <w:pPr>
        <w:ind w:left="1789" w:hanging="360"/>
      </w:pPr>
    </w:lvl>
    <w:lvl w:ilvl="2" w:tplc="358455B4">
      <w:start w:val="1"/>
      <w:numFmt w:val="lowerRoman"/>
      <w:lvlText w:val="%3."/>
      <w:lvlJc w:val="right"/>
      <w:pPr>
        <w:ind w:left="2509" w:hanging="180"/>
      </w:pPr>
    </w:lvl>
    <w:lvl w:ilvl="3" w:tplc="66146236">
      <w:start w:val="1"/>
      <w:numFmt w:val="decimal"/>
      <w:lvlText w:val="%4."/>
      <w:lvlJc w:val="left"/>
      <w:pPr>
        <w:ind w:left="3229" w:hanging="360"/>
      </w:pPr>
    </w:lvl>
    <w:lvl w:ilvl="4" w:tplc="3F32C0BA">
      <w:start w:val="1"/>
      <w:numFmt w:val="lowerLetter"/>
      <w:lvlText w:val="%5."/>
      <w:lvlJc w:val="left"/>
      <w:pPr>
        <w:ind w:left="3949" w:hanging="360"/>
      </w:pPr>
    </w:lvl>
    <w:lvl w:ilvl="5" w:tplc="1F5C8D2A">
      <w:start w:val="1"/>
      <w:numFmt w:val="lowerRoman"/>
      <w:lvlText w:val="%6."/>
      <w:lvlJc w:val="right"/>
      <w:pPr>
        <w:ind w:left="4669" w:hanging="180"/>
      </w:pPr>
    </w:lvl>
    <w:lvl w:ilvl="6" w:tplc="219CCDC2">
      <w:start w:val="1"/>
      <w:numFmt w:val="decimal"/>
      <w:lvlText w:val="%7."/>
      <w:lvlJc w:val="left"/>
      <w:pPr>
        <w:ind w:left="5389" w:hanging="360"/>
      </w:pPr>
    </w:lvl>
    <w:lvl w:ilvl="7" w:tplc="25A45956">
      <w:start w:val="1"/>
      <w:numFmt w:val="lowerLetter"/>
      <w:lvlText w:val="%8."/>
      <w:lvlJc w:val="left"/>
      <w:pPr>
        <w:ind w:left="6109" w:hanging="360"/>
      </w:pPr>
    </w:lvl>
    <w:lvl w:ilvl="8" w:tplc="B17A388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A940DE"/>
    <w:multiLevelType w:val="hybridMultilevel"/>
    <w:tmpl w:val="A1327648"/>
    <w:lvl w:ilvl="0" w:tplc="1BB40AFE">
      <w:start w:val="1"/>
      <w:numFmt w:val="decimal"/>
      <w:suff w:val="nothing"/>
      <w:lvlText w:val="%1."/>
      <w:lvlJc w:val="left"/>
      <w:pPr>
        <w:ind w:left="1068" w:hanging="360"/>
      </w:pPr>
    </w:lvl>
    <w:lvl w:ilvl="1" w:tplc="2BC46494">
      <w:start w:val="1"/>
      <w:numFmt w:val="lowerLetter"/>
      <w:lvlText w:val="%2."/>
      <w:lvlJc w:val="left"/>
      <w:pPr>
        <w:ind w:left="1788" w:hanging="360"/>
      </w:pPr>
    </w:lvl>
    <w:lvl w:ilvl="2" w:tplc="1EC48E54">
      <w:start w:val="1"/>
      <w:numFmt w:val="lowerRoman"/>
      <w:lvlText w:val="%3."/>
      <w:lvlJc w:val="right"/>
      <w:pPr>
        <w:ind w:left="2508" w:hanging="180"/>
      </w:pPr>
    </w:lvl>
    <w:lvl w:ilvl="3" w:tplc="B70AA6E0">
      <w:start w:val="1"/>
      <w:numFmt w:val="decimal"/>
      <w:lvlText w:val="%4."/>
      <w:lvlJc w:val="left"/>
      <w:pPr>
        <w:ind w:left="3228" w:hanging="360"/>
      </w:pPr>
    </w:lvl>
    <w:lvl w:ilvl="4" w:tplc="903488AC">
      <w:start w:val="1"/>
      <w:numFmt w:val="lowerLetter"/>
      <w:lvlText w:val="%5."/>
      <w:lvlJc w:val="left"/>
      <w:pPr>
        <w:ind w:left="3948" w:hanging="360"/>
      </w:pPr>
    </w:lvl>
    <w:lvl w:ilvl="5" w:tplc="C0A06332">
      <w:start w:val="1"/>
      <w:numFmt w:val="lowerRoman"/>
      <w:lvlText w:val="%6."/>
      <w:lvlJc w:val="right"/>
      <w:pPr>
        <w:ind w:left="4668" w:hanging="180"/>
      </w:pPr>
    </w:lvl>
    <w:lvl w:ilvl="6" w:tplc="10F852F0">
      <w:start w:val="1"/>
      <w:numFmt w:val="decimal"/>
      <w:lvlText w:val="%7."/>
      <w:lvlJc w:val="left"/>
      <w:pPr>
        <w:ind w:left="5388" w:hanging="360"/>
      </w:pPr>
    </w:lvl>
    <w:lvl w:ilvl="7" w:tplc="368600E2">
      <w:start w:val="1"/>
      <w:numFmt w:val="lowerLetter"/>
      <w:lvlText w:val="%8."/>
      <w:lvlJc w:val="left"/>
      <w:pPr>
        <w:ind w:left="6108" w:hanging="360"/>
      </w:pPr>
    </w:lvl>
    <w:lvl w:ilvl="8" w:tplc="43581B9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A960BB"/>
    <w:multiLevelType w:val="hybridMultilevel"/>
    <w:tmpl w:val="51F21380"/>
    <w:lvl w:ilvl="0" w:tplc="5320625C">
      <w:start w:val="1"/>
      <w:numFmt w:val="decimal"/>
      <w:lvlText w:val="%1)"/>
      <w:lvlJc w:val="left"/>
      <w:pPr>
        <w:ind w:left="1786" w:hanging="510"/>
      </w:pPr>
    </w:lvl>
    <w:lvl w:ilvl="1" w:tplc="BABAFA04">
      <w:start w:val="1"/>
      <w:numFmt w:val="lowerLetter"/>
      <w:lvlText w:val="%2."/>
      <w:lvlJc w:val="left"/>
      <w:pPr>
        <w:ind w:left="2356" w:hanging="360"/>
      </w:pPr>
    </w:lvl>
    <w:lvl w:ilvl="2" w:tplc="03C848A4">
      <w:start w:val="1"/>
      <w:numFmt w:val="lowerRoman"/>
      <w:lvlText w:val="%3."/>
      <w:lvlJc w:val="right"/>
      <w:pPr>
        <w:ind w:left="3076" w:hanging="180"/>
      </w:pPr>
    </w:lvl>
    <w:lvl w:ilvl="3" w:tplc="0D3C07CE">
      <w:start w:val="1"/>
      <w:numFmt w:val="decimal"/>
      <w:lvlText w:val="%4."/>
      <w:lvlJc w:val="left"/>
      <w:pPr>
        <w:ind w:left="3796" w:hanging="360"/>
      </w:pPr>
    </w:lvl>
    <w:lvl w:ilvl="4" w:tplc="BD9EEBCC">
      <w:start w:val="1"/>
      <w:numFmt w:val="lowerLetter"/>
      <w:lvlText w:val="%5."/>
      <w:lvlJc w:val="left"/>
      <w:pPr>
        <w:ind w:left="4516" w:hanging="360"/>
      </w:pPr>
    </w:lvl>
    <w:lvl w:ilvl="5" w:tplc="806AFB96">
      <w:start w:val="1"/>
      <w:numFmt w:val="lowerRoman"/>
      <w:lvlText w:val="%6."/>
      <w:lvlJc w:val="right"/>
      <w:pPr>
        <w:ind w:left="5236" w:hanging="180"/>
      </w:pPr>
    </w:lvl>
    <w:lvl w:ilvl="6" w:tplc="50867C5C">
      <w:start w:val="1"/>
      <w:numFmt w:val="decimal"/>
      <w:lvlText w:val="%7."/>
      <w:lvlJc w:val="left"/>
      <w:pPr>
        <w:ind w:left="5956" w:hanging="360"/>
      </w:pPr>
    </w:lvl>
    <w:lvl w:ilvl="7" w:tplc="692C271E">
      <w:start w:val="1"/>
      <w:numFmt w:val="lowerLetter"/>
      <w:lvlText w:val="%8."/>
      <w:lvlJc w:val="left"/>
      <w:pPr>
        <w:ind w:left="6676" w:hanging="360"/>
      </w:pPr>
    </w:lvl>
    <w:lvl w:ilvl="8" w:tplc="316EC446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FC62646"/>
    <w:multiLevelType w:val="hybridMultilevel"/>
    <w:tmpl w:val="F54C2CE2"/>
    <w:lvl w:ilvl="0" w:tplc="243694C2">
      <w:start w:val="1"/>
      <w:numFmt w:val="decimal"/>
      <w:suff w:val="nothing"/>
      <w:lvlText w:val="%1."/>
      <w:lvlJc w:val="left"/>
      <w:pPr>
        <w:ind w:left="1848" w:hanging="360"/>
      </w:pPr>
    </w:lvl>
    <w:lvl w:ilvl="1" w:tplc="67EA1272">
      <w:start w:val="1"/>
      <w:numFmt w:val="lowerLetter"/>
      <w:lvlText w:val="%2."/>
      <w:lvlJc w:val="left"/>
      <w:pPr>
        <w:ind w:left="2220" w:hanging="360"/>
      </w:pPr>
    </w:lvl>
    <w:lvl w:ilvl="2" w:tplc="025AA4DE">
      <w:start w:val="1"/>
      <w:numFmt w:val="lowerRoman"/>
      <w:lvlText w:val="%3."/>
      <w:lvlJc w:val="right"/>
      <w:pPr>
        <w:ind w:left="2940" w:hanging="180"/>
      </w:pPr>
    </w:lvl>
    <w:lvl w:ilvl="3" w:tplc="776A99CC">
      <w:start w:val="1"/>
      <w:numFmt w:val="decimal"/>
      <w:lvlText w:val="%4."/>
      <w:lvlJc w:val="left"/>
      <w:pPr>
        <w:ind w:left="3660" w:hanging="360"/>
      </w:pPr>
    </w:lvl>
    <w:lvl w:ilvl="4" w:tplc="B6ECFEC2">
      <w:start w:val="1"/>
      <w:numFmt w:val="lowerLetter"/>
      <w:lvlText w:val="%5."/>
      <w:lvlJc w:val="left"/>
      <w:pPr>
        <w:ind w:left="4380" w:hanging="360"/>
      </w:pPr>
    </w:lvl>
    <w:lvl w:ilvl="5" w:tplc="0D688D50">
      <w:start w:val="1"/>
      <w:numFmt w:val="lowerRoman"/>
      <w:lvlText w:val="%6."/>
      <w:lvlJc w:val="right"/>
      <w:pPr>
        <w:ind w:left="5100" w:hanging="180"/>
      </w:pPr>
    </w:lvl>
    <w:lvl w:ilvl="6" w:tplc="A4FE25FA">
      <w:start w:val="1"/>
      <w:numFmt w:val="decimal"/>
      <w:lvlText w:val="%7."/>
      <w:lvlJc w:val="left"/>
      <w:pPr>
        <w:ind w:left="5820" w:hanging="360"/>
      </w:pPr>
    </w:lvl>
    <w:lvl w:ilvl="7" w:tplc="4F9206B0">
      <w:start w:val="1"/>
      <w:numFmt w:val="lowerLetter"/>
      <w:lvlText w:val="%8."/>
      <w:lvlJc w:val="left"/>
      <w:pPr>
        <w:ind w:left="6540" w:hanging="360"/>
      </w:pPr>
    </w:lvl>
    <w:lvl w:ilvl="8" w:tplc="0B0C0570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9D"/>
    <w:rsid w:val="0070609D"/>
    <w:rsid w:val="00713A53"/>
    <w:rsid w:val="00943F93"/>
    <w:rsid w:val="00F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CE7BD-0B01-490E-B2BC-BA75ACD6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Web1Web0">
    <w:name w:val="Обычный (веб) Знак;Обычный (Web)1 Знак;Обычный (Web) Знак"/>
    <w:link w:val="Web1Web"/>
    <w:rPr>
      <w:color w:val="000000"/>
      <w:sz w:val="24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Рыбалко Юлия Сергеевна</cp:lastModifiedBy>
  <cp:revision>4</cp:revision>
  <dcterms:created xsi:type="dcterms:W3CDTF">2022-12-07T10:15:00Z</dcterms:created>
  <dcterms:modified xsi:type="dcterms:W3CDTF">2024-11-29T09:49:00Z</dcterms:modified>
  <cp:version>1048576</cp:version>
</cp:coreProperties>
</file>