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55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  <w:t xml:space="preserve">ПРИЛОЖЕНИЕ № 2</w:t>
            </w:r>
            <w:r/>
          </w:p>
          <w:p>
            <w:pPr>
              <w:pStyle w:val="855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  <w:t xml:space="preserve">к постановлению Правительства</w:t>
            </w:r>
            <w:r/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  <w:t xml:space="preserve">Новосибирской области</w:t>
            </w:r>
            <w:r/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«ПРИЛОЖЕНИЕ № 2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к Региональной адресной программе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Новосибирской области по переселению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граждан из аварийного жилищного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фонда на 2019–2023 годы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</w:tr>
    </w:tbl>
    <w:p>
      <w:pPr>
        <w:pStyle w:val="855"/>
        <w:jc w:val="center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Рекомендуемые требования к жилью, проектируемому (строящемуся) и приобретаемому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Региональной адресной программы Новосибирской области по переселению граждан из аварийного жилищного фонда на 2019–2023 годы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2"/>
          <w:rFonts w:asciiTheme="minorHAnsi" w:hAnsiTheme="minorHAnsi" w:eastAsiaTheme="minorHAnsi" w:cstheme="minorBidi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2"/>
          <w:rFonts w:asciiTheme="minorHAnsi" w:hAnsiTheme="minorHAnsi" w:eastAsiaTheme="minorHAnsi" w:cstheme="minorBidi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6492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рекомендуемого 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Содержание рекомендуемого 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проектной документации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проектной документации проектные значения параметров и другие проектные характеристики жилья, а также проектируемые мероприятия по обеспечению его безопасности рекомендуется устанавливать таким образом, чтобы в процессе его строительства и эксплуатации 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 юридических лиц, государственного или муниципального имущества, окружающей среды.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Проектная док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ументация разрабатывается в соответствии с требованиями: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Федерального закона от 22.07.2008 № 123-ФЗ «Технический регламент о требованиях пожарной безопасности»;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Федерального закона от 30.12.2009 № 384-ФЗ «Технический регламент о безопасности зданий и соору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жений»;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постановления Правительства Российской Федерации от 16.02.2008 № 87 «О составе разделов проектной документации и требованиях к их содержанию»;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42.13330.2016 «Градостроительство. Планировка и застройка городских и сельских поселений», утвержденны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 приказом Минстроя России от 30.12.2016 № 1034/пр;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54.13330.2022 «СНиП 31-01-2003 Здания жилые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многоквартирные», утвержденным приказом Минстроя России от 13.05.2022 № 361/пр;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55.13330.2016 «Дома жилые одноквартирные», утвержденным приказом Минстроя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России от 20.10.2016 № 725/пр;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59.13330.2020 «Доступность зданий и сооружений для маломобильных групп населения», утвержденным приказом Минстроя России от 30.12.2020 № 904/пр;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14.13330.2018 «Строительство в сейсмических районах», утвержденным приказо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 Минстроя России от 24.05.2018 № 309/пр;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22.13330.2016 «Основания зданий и сооружений», утвержденным приказом Минстроя России от 16.12.2016 № 970/пр;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2.13130.2020 «Системы противопожарной защиты. Обеспечение огнестойкости объектов защиты», утвержден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ным приказом МЧС России от 12.03.2020 № 151;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утвержденным приказом МЧС России от 24.04.20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№ 288;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255.1325800.2016 «Здания и сооружения. Правила эксплуатации. Основные положения», утвержденным приказом Минстроя России от 24.08.2016 № 590/пр;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20.13330.2016 «СНиП 2.01.07-85* Нагрузки и воздействия», утвержденным приказом Минстроя России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 03.12.2016 № 891/пр;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28.13330.2017 «СНиП 2.03.11-85 Защита строительных конструкций от коррозии», утвержденным приказом Минстроя России от 27.02.2017 № 127/пр;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50.13330.20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«СНиП 23-02-2003 Тепловая защита зданий», утвержденным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Минстроя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России 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15.05.2024 № 327/пр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70.13330.2012 «СНиП 3.03.01-87 Несущие и ограждающие конструкции», утвержденным приказом Госстроя от 25.12.2012 № 109/ГС;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230.1325800.2015 «Конструкции ограждающие зданий. Характеристики теплотехнических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неоднородностей», утвержденным приказом Минстроя России от 08.04.2015 № 261/пр;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255.1325800.2016 «Здания и сооружения. Правила эксплуатации. Основные положения», утверж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денным приказом Минстроя России от 24.08.2016 № 590/пр;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260.1325800.20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«Конструкции стальные тонкостенные из холодногнутых оцинкованных профилей и гофрированных листов. Правила проектирования», утвержденным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приказом Минстроя России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.12.20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64.13330.2017 «СНиП П-25-80 Деревянные конструкции», утвержденным приказом Минстроя России от 27.02.2017 № 129/пр;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352.1325800.2017 «Здания жилые одноквартирные с деревянным каркасом. Правила проектирования и строительства», утвержденным приказо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 Минстроя России от 13.12.2017 № 1660/пр;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382.1325800.2017 «Конструкции деревянные клееные на вклеенных стержнях. Методы расчета», утвержденным приказом Минстроя России от 20.12.2017 № 1688/пр;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452.1325800.2019 «Здания жилые многоквартирные с примен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ением деревянных конструкций. Правила проектирования», утвержденным приказом Минстроя России от 28.10.2019 № 651/пр;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 516.1325800.2022 «Здания из деревянных срубных конструкций. Правила проектирования и строительства», утвержденным приказом Минстроя России от 11.04.2022 № 270/пр;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СанПиН 1.2.3685-21 «Гигиенические нормативы и требования к обеспечению безопасности и (или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 безвредности для человека факторов среды обитания», утвержденным постановлением Главного государственного санитарного врача Российской Федерации 28.01.2021 № 2;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ГОСТ Р 21.101-2020 «Национальный стандарт Российской Федерации. Система проектной документаци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для строительства. Основные требования к проектной и рабочей документации», утвержденным приказом Федерального агентства по техническому регулированию и метрологии от 23.06.2020 № 282-ст;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Методики расчета совокупного выделения в воздух внутренней среды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утвержденной приказом Минстроя России от 26.10.2017 № 1484/пр.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Рекомендуется обеспечивать соответствие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ланируемых к строительству (строящихся) многоквартирных домов, а также подлежащих приобретению жилых помещений положениям санитарно-эпидемиологических правил и нормативов СанПиН 2.1.3684-21 «Санитарно-эпидемиологические требования к содержанию территорий 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лактических) мероприятий», утвержденных постановлением Главного государственного санитарного врача Российской Федерации от 28.01.2021 № 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отношении проектной документации на строительство многоквартирного дома, построенного многоквартирного дома, в кото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ром приобретаются жилые помещения, рекомендуется обеспечить наличие положительного заключения экспертизы в соответствии с требованиями, установленными законодательством о градостроительной деятельности.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конструктивному, инженерному и техно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логическому оснащению строящегося многоквартирного дома, введенного в эксплуатацию многоквартирного дома, в котором приобретается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готовое жилье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Приобретение жилых помещений для переселения граждан, проживающих в аварийном жилищном фонде, на вторичном рынке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жилья допускается только в жилых домах, имеющих износ не более 40 процентов, дата ввода в эксплуатацию на момент приобретения не превышает 15 лет со дня выдачи разрешения на ввод в эксплуатацию.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строящихся домах рекомендуется обеспечивать наличие: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ущих строительных конструкций, выполненных из следующих материалов: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а) стены из каменных конструкций (кирпич, блоки),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крупных железобетонных блоков, железобетонных панелей, монолитного железобетонного каркаса с заполнением;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б) перекрытия из сборных и монол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итных железобетонных конструкций;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в) фундаменты из сборных и монолитных железобетонных и каменных конструкций;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подключения к централизованным сетям инженерно-технического обеспечения по выданным соответствующими ресурсоснабжающими и иными организациями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ехническим условиям;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санитарного узла (раздельного или совмещенного), который должен быть внутриквартирным и включать ванну, унитаз, раковину;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внутридомовых инженерных систем, включая системы: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а) электроснабжения (с силовым и иным электрооборудованием в соответствии с проектной документацией);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б) холодного водоснабжения;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в) водоотведения (канализации);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г) газоснабжения (при наличии в соответствии с проектной документацией), с устройством сигнали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заторов загазованности, сблокированных с быстродействующим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легкосбрасываемых оконных блок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ов (в соответствии с проектной документацией);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д) отопления (при отсутствии централизованного отопления и наличии газа рекомендуется установка коллективных или индивидуальных газовых котлов);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е) горячего водоснабжения;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ж) противопожарной безопасности (в 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ответствии с проектной документацией);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з) мусороудаления (при наличии в соответствии с проектной документацией);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наличии экономической целесообразности - локальных систем энергоснабжения;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принятых в эксплуатацию и зарегистрированных в установленном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порядке лифтов (при наличии в соответствии с проектной документацией).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Лифты рекомендуется оснащать: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а) кабиной, предназначенной для пользования инвалидом на кресле-коляске с сопровождающим лицом;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б) оборудованием для связи с диспетчером;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в) аварийным осв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ещением кабины лифта;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г) светодиодным освещением кабины лифта в антивандальном исполнении;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д) панелью управления кабиной лифта в антивандальном исполнении;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внесенных в Государственный реестр средств измерений, поверенных предприятиями-изготовителями,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(коллективн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ых) приборов учета электрической, тепловой энергии, холодной воды, горячей воды (при централизованном теплоснабжении в установленных случаях);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оконных блоков со стеклопакетом класса энергоэффективности в соответствии с классом энергоэффективности дома;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освещения этажных лестничных площадок дома с использованием светильников в антивандальном исполнении со светодиодным источником света, датчиков движения и освещенности;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входах в подъезды дома освещения с использованием светильников в антивандальном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исполнении со светодиодным источником света и датчиков освещенности, козырьков над входной дверью и утепленных дверных блоков с ручками и автодоводчиком;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 входах в подвал (техническое подполье) дома металлических дверных блоков с замком, ручками и авто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доводчиком;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отмостки из армированного бетона, асфальта, устроенной по всему периметру дома и обеспечивающей отвод воды от фундаментов;</w:t>
            </w:r>
            <w:r/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организованного водостока;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благоустройства придомовой территории, в том числе наличие твердого покрытия, озеленения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малых архитектурных форм, площадок общего пользования различного назначения, в том числе детской игровой площадки с игровым комплексом (в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соответствии с проектной документацией).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функциональному оснащению и отделке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Для целей переселения граждан из аварийного жилищного фонда используются построенные и приобретенные жилые помещения, расположенные на любых этажах дома, кроме подвального, цокольного, технического, мансардного и: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оборудованные подключенными к соответств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ующим внутридомовым инженерным системам внутриквартирными инженерными сетями в составе (не менее):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а) электроснабжения с электрическим щитком с устройствами защитного отключения;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б) холодного водоснабжения;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в) горячего водоснабжения (централизованной или 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втономной);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г) водоотведения (канализации);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д) отопления (централизованного или автономного);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е) вентиляции;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ж) газоснабжения (при наличии в соответствии с проектной документацией), с устройством сигнализаторов загазованности, сблокированных с быстродейств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легкосбрасываемых оконных блоков (в соответствии с проектной документацией);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з) вне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сенными в Государственный реестр средств измерений, поверенными предприятиями-изготовителями,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 учета электрической энергии, холодной воды, горячей воды, природного газа (в установленных случаях) (в соответствии с проектной документацией);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имеющие чистовую отделку «под ключ», в том числе: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а) входную утепленную дверь с замком, ручками и дверным 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лазком;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б) межкомнатные двери с наличниками и ручками;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в) оконные блоки со стеклопакетом класса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энергоэффективности в соответствии с классом энергоэффективности дома;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г) вентиляционные решетки;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д) подвесные крюки для потолочных осветительных приборов во всех помещениях квартиры;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е) установленные и подключенные к соответствующим внутриквартирным инженерным сетям: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звонковую сигнализацию (в соответствии с проектной документацией);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мойку со смеси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телем и сифоном;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умывальник со смесителем и сифоном;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унитаз с сиденьем и сливным бачком;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ванну с заземлением, со смесителем и сифоном;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одно-, двухклавишные электровыключатели;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электророзетки;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выпуски электропроводки и патроны во всех помещениях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квартиры;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газовую или электрическую плиту (в соответствии с проектным решением);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радиаторы (отопительные приборы или иные теплопотребляющие элементы внутридомовой системы теплоснабжения) отопления с терморегуляторами (при технологической возможности в соответствии с проектной документацией), а при автономном отоплении и горячем водосн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абжении также двухконтурный котел;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ж) 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ламината класса износостойкости 22 и выше или 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инолеума на вспененной основе;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з) 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 в кухне, примыкающей(их) к рабочей поверхности, и 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асти стены (стен) в ванной комнате, примыкающей(их) к ванне и умывальнику, отделка которых производится керамической плиткой); обоями в остальных помещениях;</w:t>
            </w:r>
            <w:r/>
          </w:p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и) отделку потолков во всех помещениях квартиры водоэмульсионной или иной аналогичной краской,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конструкцией из сварной виниловой пленки (ПВХ) или бесшовного тканевого полотна, закрепленных на металлическом или пластиковом профиле под перекрытием (натяжные потолки).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Конструктивные, объемно-планировочные и иные решения индивидуальных жилых домов и домов блокированной застройки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Характеристики индивидуальных жилых домов, в том числе входящих в состав блокированной застройки, определяются в соответствии с приказом Минстро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России от 02.08.2022 № 633/пр «Об утверждении методики отбора проектов индивидуальных жилых домов для переселения граждан из аварийного жилищного фонда».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материалам, изделиям и оборудованию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Проектом на строительство дома рекомендуется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едусмотреть применение современных сертифицированных строительных и отделочных материалов, технологического и инженерного оборудования.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Строительство рекомендуется осуществлять с применением материалов и оборудования, обеспечивающих соответствие жилища тре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бованиям проектной документации.</w:t>
            </w:r>
            <w:r/>
          </w:p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Работы и применяемые строительные материалы в процессе строительства дома, жилые помещения в котором приобретаются в соответствии с муниципальным контрактом в целях переселения граждан из аварийного жилищного фонда, а также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результаты таких работ рекомендуется выполнять в соответствии с требованиями технических регламентов,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энергоэффективности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Рекомендуется предусматривать класс энергетической эффективности дома не ниже «B» согласно Правилам определения класса энергетической эффективности, утвержденным приказом Министерства строительства и жилищно-коммунального хозяйства от 06.06.2016 № 399/пр.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Рекомендуется предусматривать следующие мероприятия, направленные на повышение энергоэффективности дома: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предъявлять к оконным блокам в квартирах и в помещениях общего пользования дополнительные требования, указанные выше;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многоквартирных домах произ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водить установку в помещениях общего пользования, лестничных клетках, перед входом в подъезды светодиодных светильников с датчиками движения и освещенности;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проводить освещение придомовой территории многоквартирных домов с использованием светодиодных све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тильников и датчиков освещенности;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выполнять теплоизоляцию подвального (цокольного) и чердачного перекрытий (в соответствии с проектной документацией);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проводить установку приборов учета горячего и холодного водоснабжения, электроэнергии, газа и другие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предусмотренные в проектной документации;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выполнять установку радиаторов отопления с терморегуляторами (при технологической возможности в соответствии с проектной документацией);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проводить устройство входных дверей в подъезды дома с утеплением и обор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удованием автодоводчиками;</w:t>
            </w:r>
            <w:r/>
          </w:p>
          <w:p>
            <w:pPr>
              <w:pStyle w:val="853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устраивать входные тамбуры в подъезды дома с утеплением стен, устанавливать утепленные двери тамбура (входную и проходную) с автодоводчиками.</w:t>
            </w:r>
            <w:r/>
          </w:p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Рекомендуется обеспечить наличие на фасаде дома указателя класса энергетической эффек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тивности дома в соответствии с разделом III Правил определения классов энергетической эффективности многоквартирных домов, утвержденных приказом Министерства строительства и жилищно-коммунального хозяйства Российской Федерации от 6 июня 2016 года № 399/пр.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Требования к эксплуатационной документации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Рекомендуется иметь в наличии паспорта и инструкции по эксплуатации предприятий-изготовителей на механическое, электрическое, санитарно-техническое и иное, включая лифтовое, оборудование, приборы учета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спользования энергетических ресурсов (общедомовые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(коллективные) и индивидуальные) и узлы управления подачей энергетических ресурсов и т.д., а также соответствующие документы (копии документов), предусмотренные пунктами 24 и 26 Правил содержания общего иму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щества в многоквартирном доме, утвержденных постановлением Правительства Российской Федерации от 13.08.2006 № 491, включая Инструкцию по эксплуатации многоквартирного дома, выполненную в соответствии с п. 10.1 Градостроительного кодекса Российской Федераци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(Требования к безопасной эксплуатации зданий) и СП 255.1325800 «Здания и сооружения. Правила эксплуатации, Общие положения» (в соответствии с проектной документацией), инструкции по эксплуатации внутриквартирного инженерного оборудования. Комплекты инстр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укций по эксплуатации внутриквартирного инженерного оборудования рекомендуется передать Заказчику.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_______».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1134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57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5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6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6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character" w:styleId="862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63">
    <w:name w:val="annotation text"/>
    <w:basedOn w:val="67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681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Balloon Text"/>
    <w:basedOn w:val="671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81"/>
    <w:link w:val="8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Вадимовна</dc:creator>
  <cp:keywords/>
  <dc:description/>
  <cp:revision>7</cp:revision>
  <dcterms:created xsi:type="dcterms:W3CDTF">2024-10-04T08:49:00Z</dcterms:created>
  <dcterms:modified xsi:type="dcterms:W3CDTF">2025-02-24T02:14:50Z</dcterms:modified>
</cp:coreProperties>
</file>