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left="5954"/>
        <w:jc w:val="center"/>
        <w:spacing w:after="0" w:line="240" w:lineRule="auto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 xml:space="preserve">ПРИЛОЖЕНИЕ</w:t>
      </w:r>
      <w:r>
        <w:rPr>
          <w:rFonts w:ascii="Times New Roman" w:hAnsi="Times New Roman"/>
          <w:sz w:val="28"/>
          <w:szCs w:val="28"/>
          <w:highlight w:val="white"/>
        </w:rPr>
      </w:r>
      <w:r>
        <w:rPr>
          <w:rFonts w:ascii="Times New Roman" w:hAnsi="Times New Roman"/>
          <w:sz w:val="28"/>
          <w:szCs w:val="28"/>
          <w:highlight w:val="white"/>
        </w:rPr>
      </w:r>
    </w:p>
    <w:p>
      <w:pPr>
        <w:ind w:left="5954"/>
        <w:jc w:val="center"/>
        <w:spacing w:after="0" w:line="240" w:lineRule="auto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 xml:space="preserve">к постановлению Правительства Новосибирской области</w:t>
      </w:r>
      <w:r>
        <w:rPr>
          <w:rFonts w:ascii="Times New Roman" w:hAnsi="Times New Roman"/>
          <w:sz w:val="28"/>
          <w:szCs w:val="28"/>
          <w:highlight w:val="white"/>
        </w:rPr>
      </w:r>
      <w:r>
        <w:rPr>
          <w:rFonts w:ascii="Times New Roman" w:hAnsi="Times New Roman"/>
          <w:sz w:val="28"/>
          <w:szCs w:val="28"/>
          <w:highlight w:val="white"/>
        </w:rPr>
      </w:r>
    </w:p>
    <w:p>
      <w:pPr>
        <w:ind w:left="5954"/>
        <w:jc w:val="center"/>
        <w:spacing w:after="0" w:line="240" w:lineRule="auto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</w:r>
      <w:r>
        <w:rPr>
          <w:rFonts w:ascii="Times New Roman" w:hAnsi="Times New Roman"/>
          <w:sz w:val="28"/>
          <w:szCs w:val="28"/>
          <w:highlight w:val="white"/>
        </w:rPr>
      </w:r>
      <w:r>
        <w:rPr>
          <w:rFonts w:ascii="Times New Roman" w:hAnsi="Times New Roman"/>
          <w:sz w:val="28"/>
          <w:szCs w:val="28"/>
          <w:highlight w:val="white"/>
        </w:rPr>
      </w:r>
    </w:p>
    <w:p>
      <w:pPr>
        <w:ind w:left="5954"/>
        <w:jc w:val="center"/>
        <w:spacing w:after="0" w:line="240" w:lineRule="auto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</w:r>
      <w:r>
        <w:rPr>
          <w:rFonts w:ascii="Times New Roman" w:hAnsi="Times New Roman"/>
          <w:sz w:val="28"/>
          <w:szCs w:val="28"/>
          <w:highlight w:val="white"/>
        </w:rPr>
      </w:r>
      <w:r>
        <w:rPr>
          <w:rFonts w:ascii="Times New Roman" w:hAnsi="Times New Roman"/>
          <w:sz w:val="28"/>
          <w:szCs w:val="28"/>
          <w:highlight w:val="white"/>
        </w:rPr>
      </w:r>
    </w:p>
    <w:p>
      <w:pPr>
        <w:ind w:left="5954"/>
        <w:jc w:val="center"/>
        <w:spacing w:after="0" w:line="240" w:lineRule="auto"/>
        <w:rPr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 xml:space="preserve">«Приложение № 20</w:t>
      </w:r>
      <w:r>
        <w:rPr>
          <w:highlight w:val="white"/>
        </w:rPr>
      </w:r>
      <w:r>
        <w:rPr>
          <w:highlight w:val="white"/>
        </w:rPr>
      </w:r>
    </w:p>
    <w:p>
      <w:pPr>
        <w:ind w:left="5954"/>
        <w:jc w:val="center"/>
        <w:spacing w:after="0" w:line="240" w:lineRule="auto"/>
        <w:rPr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 xml:space="preserve">к постановлению</w:t>
      </w:r>
      <w:r>
        <w:rPr>
          <w:highlight w:val="white"/>
        </w:rPr>
      </w:r>
      <w:r>
        <w:rPr>
          <w:highlight w:val="white"/>
        </w:rPr>
      </w:r>
    </w:p>
    <w:p>
      <w:pPr>
        <w:ind w:left="5954"/>
        <w:jc w:val="center"/>
        <w:spacing w:after="0" w:line="240" w:lineRule="auto"/>
        <w:rPr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 xml:space="preserve">Правительства Новосибирской области</w:t>
      </w:r>
      <w:r>
        <w:rPr>
          <w:highlight w:val="white"/>
        </w:rPr>
      </w:r>
      <w:r>
        <w:rPr>
          <w:highlight w:val="white"/>
        </w:rPr>
      </w:r>
    </w:p>
    <w:p>
      <w:pPr>
        <w:ind w:left="5954"/>
        <w:jc w:val="center"/>
        <w:spacing w:after="0" w:line="240" w:lineRule="auto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 xml:space="preserve">от 16.02.2015 № 66-п</w:t>
      </w:r>
      <w:r>
        <w:rPr>
          <w:rFonts w:ascii="Times New Roman" w:hAnsi="Times New Roman"/>
          <w:sz w:val="28"/>
          <w:szCs w:val="28"/>
          <w:highlight w:val="white"/>
        </w:rPr>
      </w:r>
      <w:r>
        <w:rPr>
          <w:rFonts w:ascii="Times New Roman" w:hAnsi="Times New Roman"/>
          <w:sz w:val="28"/>
          <w:szCs w:val="28"/>
          <w:highlight w:val="white"/>
        </w:rPr>
      </w:r>
    </w:p>
    <w:p>
      <w:pPr>
        <w:ind w:left="4962"/>
        <w:jc w:val="center"/>
        <w:spacing w:after="0" w:line="240" w:lineRule="auto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</w:r>
      <w:r>
        <w:rPr>
          <w:rFonts w:ascii="Times New Roman" w:hAnsi="Times New Roman"/>
          <w:sz w:val="28"/>
          <w:szCs w:val="28"/>
          <w:highlight w:val="white"/>
        </w:rPr>
      </w:r>
      <w:r>
        <w:rPr>
          <w:rFonts w:ascii="Times New Roman" w:hAnsi="Times New Roman"/>
          <w:sz w:val="28"/>
          <w:szCs w:val="28"/>
          <w:highlight w:val="white"/>
        </w:rPr>
      </w:r>
    </w:p>
    <w:p>
      <w:pPr>
        <w:jc w:val="center"/>
        <w:spacing w:after="0" w:line="240" w:lineRule="auto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</w:r>
      <w:r>
        <w:rPr>
          <w:rFonts w:ascii="Times New Roman" w:hAnsi="Times New Roman"/>
          <w:sz w:val="28"/>
          <w:szCs w:val="28"/>
          <w:highlight w:val="white"/>
        </w:rPr>
      </w:r>
      <w:r>
        <w:rPr>
          <w:rFonts w:ascii="Times New Roman" w:hAnsi="Times New Roman"/>
          <w:sz w:val="28"/>
          <w:szCs w:val="28"/>
          <w:highlight w:val="white"/>
        </w:rPr>
      </w:r>
    </w:p>
    <w:p>
      <w:pPr>
        <w:jc w:val="center"/>
        <w:spacing w:after="0" w:line="240" w:lineRule="auto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</w:r>
      <w:r>
        <w:rPr>
          <w:rFonts w:ascii="Times New Roman" w:hAnsi="Times New Roman"/>
          <w:sz w:val="28"/>
          <w:szCs w:val="28"/>
          <w:highlight w:val="white"/>
        </w:rPr>
      </w:r>
      <w:r>
        <w:rPr>
          <w:rFonts w:ascii="Times New Roman" w:hAnsi="Times New Roman"/>
          <w:sz w:val="28"/>
          <w:szCs w:val="28"/>
          <w:highlight w:val="white"/>
        </w:rPr>
      </w:r>
    </w:p>
    <w:p>
      <w:pPr>
        <w:pStyle w:val="752"/>
        <w:jc w:val="center"/>
        <w:spacing w:before="0" w:after="0"/>
        <w:rPr>
          <w:rFonts w:ascii="Times New Roman" w:hAnsi="Times New Roman"/>
          <w:sz w:val="28"/>
          <w:szCs w:val="28"/>
          <w:highlight w:val="white"/>
          <w:lang w:val="ru-RU"/>
        </w:rPr>
      </w:pPr>
      <w:r>
        <w:rPr>
          <w:rFonts w:ascii="Times New Roman" w:hAnsi="Times New Roman"/>
          <w:sz w:val="28"/>
          <w:szCs w:val="28"/>
          <w:highlight w:val="white"/>
          <w:lang w:val="ru-RU"/>
        </w:rPr>
        <w:t xml:space="preserve">ПОРЯДОК</w:t>
      </w:r>
      <w:r>
        <w:rPr>
          <w:rFonts w:ascii="Times New Roman" w:hAnsi="Times New Roman"/>
          <w:sz w:val="28"/>
          <w:szCs w:val="28"/>
          <w:highlight w:val="white"/>
          <w:lang w:val="ru-RU"/>
        </w:rPr>
      </w:r>
      <w:r>
        <w:rPr>
          <w:rFonts w:ascii="Times New Roman" w:hAnsi="Times New Roman"/>
          <w:sz w:val="28"/>
          <w:szCs w:val="28"/>
          <w:highlight w:val="white"/>
          <w:lang w:val="ru-RU"/>
        </w:rPr>
      </w:r>
    </w:p>
    <w:p>
      <w:pPr>
        <w:pStyle w:val="1040"/>
        <w:ind w:firstLine="709"/>
        <w:jc w:val="center"/>
        <w:tabs>
          <w:tab w:val="left" w:pos="1134" w:leader="none"/>
        </w:tabs>
        <w:rPr>
          <w:rFonts w:ascii="Times New Roman" w:hAnsi="Times New Roman" w:cs="Times New Roman"/>
          <w:b/>
          <w:bCs/>
          <w:sz w:val="28"/>
          <w:szCs w:val="28"/>
          <w:highlight w:val="white"/>
        </w:rPr>
      </w:pPr>
      <w:r>
        <w:rPr>
          <w:rFonts w:ascii="Times New Roman" w:hAnsi="Times New Roman" w:cs="Times New Roman"/>
          <w:b/>
          <w:sz w:val="28"/>
          <w:szCs w:val="28"/>
          <w:highlight w:val="white"/>
        </w:rPr>
        <w:t xml:space="preserve">предоставления субсидии из областного бюджета Новосибирской области на проведение капитального ремонта общего имущества в многоквартирных домах, расположенных на территории </w:t>
      </w:r>
      <w:r>
        <w:rPr>
          <w:rFonts w:ascii="Times New Roman" w:hAnsi="Times New Roman" w:cs="Times New Roman"/>
          <w:b/>
          <w:sz w:val="28"/>
          <w:szCs w:val="28"/>
          <w:highlight w:val="whit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white"/>
        </w:rPr>
      </w:r>
    </w:p>
    <w:p>
      <w:pPr>
        <w:pStyle w:val="1040"/>
        <w:ind w:firstLine="709"/>
        <w:jc w:val="center"/>
        <w:tabs>
          <w:tab w:val="left" w:pos="1134" w:leader="none"/>
        </w:tabs>
        <w:rPr>
          <w:rFonts w:ascii="Times New Roman" w:hAnsi="Times New Roman" w:cs="Times New Roman"/>
          <w:b/>
          <w:bCs/>
          <w:sz w:val="28"/>
          <w:szCs w:val="28"/>
          <w:highlight w:val="white"/>
        </w:rPr>
      </w:pPr>
      <w:r>
        <w:rPr>
          <w:rFonts w:ascii="Times New Roman" w:hAnsi="Times New Roman" w:cs="Times New Roman"/>
          <w:b/>
          <w:sz w:val="28"/>
          <w:szCs w:val="28"/>
          <w:highlight w:val="white"/>
        </w:rPr>
        <w:t xml:space="preserve">Новосибирской области</w:t>
      </w:r>
      <w:r>
        <w:rPr>
          <w:rFonts w:ascii="Times New Roman" w:hAnsi="Times New Roman" w:cs="Times New Roman"/>
          <w:b/>
          <w:sz w:val="28"/>
          <w:szCs w:val="28"/>
          <w:highlight w:val="whit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white"/>
        </w:rPr>
      </w:r>
    </w:p>
    <w:p>
      <w:pPr>
        <w:pStyle w:val="1040"/>
        <w:ind w:firstLine="709"/>
        <w:jc w:val="center"/>
        <w:tabs>
          <w:tab w:val="left" w:pos="1134" w:leader="none"/>
        </w:tabs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jc w:val="center"/>
        <w:rPr>
          <w:b/>
          <w:bCs/>
          <w:highlight w:val="white"/>
        </w:rPr>
      </w:pPr>
      <w:r>
        <w:rPr>
          <w:rFonts w:ascii="Times New Roman" w:hAnsi="Times New Roman" w:cs="Times New Roman"/>
          <w:b/>
          <w:bCs/>
          <w:spacing w:val="2"/>
          <w:sz w:val="28"/>
          <w:szCs w:val="28"/>
          <w:highlight w:val="white"/>
        </w:rPr>
        <w:t xml:space="preserve">I. Общие положения и целевое назначение субсидии</w:t>
      </w:r>
      <w:r>
        <w:rPr>
          <w:b/>
          <w:bCs/>
          <w:highlight w:val="white"/>
        </w:rPr>
      </w:r>
      <w:r>
        <w:rPr>
          <w:b/>
          <w:bCs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1. Настоящий Порядок разработан в соответствии с частью 1 статьи 191 Жилищного кодекса Российской Федерации (далее – ЖК РФ), постанов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лением Правительства Российской Федерации от 25.10.2023 № 1782 «Об утверждении общих требований к нормативным правовым актам, муниципальным правовым актам, регулирующим предоставление из бюджетов субъектов Российской Федерации, местных бюджетов субсидий, в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 том числе грантов в форме субсидий, юридическим лицам, индивидуальным предпринимателям, а также физическим лицам - производителям товаров, работ, услуг и проведение отборов получателей указанных субсидий, в том числе грантов в форме субсидий», пунктом 9 ч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асти 2 статьи 2 Закона Новосибирской области от 05.07.2013 № 360-ОЗ «Об организации проведения капитального ремонта общего имущества в многоквартирных домах, расположенных на территории Новосибирской области» (далее – Закон Новосибирской области № 360-ОЗ).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2. Субсидия на проведение капитального ремонта общего имущества в многоквартирных домах за счет средств областного бюдж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ета Новосибирской области (далее - Субсидия) - безвозмездное и безвозвратное предоставление средств областного бюджета Новосибирской области в форме субсидий, объем которых определяется в областном бюджете Новосибирской области на очередной финансовый год.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Субсидия предоставляется в пределах бюджетных ассигнований и лимитов бюджетных обязательств, установленных главному распорядителю бюджетных средств на соответствующий финансовый год и плановый период по указанным направлениям расходов.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3. Субсидия предоставляется в целях финансового обеспечения затрат на 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проведение капитального ремонта общего имущества в многоквартирных домах, включенных в региональную программу капитального ремонта общего имущества в многоквартирных домах, расположенных на территории Новосибирской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 области, на 2014 - 2052 годы, утвержденную постановлением Правительства Новосибирской области от 27.11.2013 № 524-п «Об утверждении Региональной программы капитального ремонта общего имущества в многоквартирных домах, расположенных на территории Новосибир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ской области, на 2014 - 2052 годы», а также в краткосрочные планы реализации региональной программы капитального ремонта, утверждаемые в соответствии со статьей 12 Закона Новосибирской области № 360-ОЗ (далее - региональная программа капитального ремонта).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4. Уполномоченным органом по предоставлению Субсидии, осуществляющим функции главного распорядителя бюджетных средств, до которого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 доведены в установленном порядке лимиты бюджетных обязательств на предоставление Субсидий на соответствующий финансовый год и плановый период, является министерство жилищно-коммунального хозяйства и энергетики Новосибирской области (далее - Министерство).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5. Субсидия предоставляется товариществам собственников жилья, жилищным, жилищно-строительным кооперативам, созданным в соответствии с ЖК РФ, управляющим организациям, региональному оператору, созданному в соответствии с ЖК РФ (далее - Организации). 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6. Субсидия предоставляется на выполнение работ по ремонту, замене, модернизации лифтов с истекшим назначенным сроком службы, включенным в региональную программу капитального ремонта текущего года, соответствующего периоду предоставления Субсидии.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7. Субсидия носит целевой характер и не может быть использована на другие цели.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8. Субсидия на проведение капитального ремонта общего имущества многоквартирно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го дома осуществляется при наличии мер муниципальной поддержки на проведение капитального ремонта общего имущества в многоквартирных домах за счет средств местных бюджетов в муниципальном образовании, на территории которого расположен многоквартирный дом. 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Объем  муниципальной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 поддержки определяется органами местного самоуправления самостоятельно с учетом данных министерства финансов и налоговой политики Новосибирской области о бюджетной обеспеченности муниципальных образований Новосибирской области.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jc w:val="center"/>
        <w:rPr>
          <w:rFonts w:ascii="Times New Roman" w:hAnsi="Times New Roman" w:cs="Times New Roman"/>
          <w:b/>
          <w:bCs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b/>
          <w:bCs/>
          <w:spacing w:val="2"/>
          <w:sz w:val="28"/>
          <w:szCs w:val="28"/>
          <w:highlight w:val="white"/>
        </w:rPr>
        <w:t xml:space="preserve">II. Порядок отбора получателей субсидии</w:t>
      </w:r>
      <w:r>
        <w:rPr>
          <w:rFonts w:ascii="Times New Roman" w:hAnsi="Times New Roman" w:cs="Times New Roman"/>
          <w:b/>
          <w:bCs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b/>
          <w:bCs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9. Отбор получателей Субсидии осуществляется Министерством посредством запроса предложений от Организаций, указанных в пункте 5 настоящего Порядка.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10. Сведения о Субсидии размещаются на едином портале бюджетной 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системы Российской Федерации в информаци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онно-телекоммуникационной сети «Интернет» (далее – единый портал) в разделе «Бюджет» в порядке, установленном Министерством финансов Российской Федерации, а также на официальном сайте Министерства по адресу https://mjkh.nso.ru/ (далее - сайт министерства).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11. Отбор получателей Субсидии состоит из следующих этапов: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1) публикация объявления о проведении отбора получателей Субсидии;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2) прием заявок на предоставление Субсидии на проведение капитального ремонта общего имущества в многоквартирных домах (далее – заявка);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3) рассмотрение заявок;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4) подведение итогов проведения отбора получателей Субсидии.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12. На едином портале публикуется информация о странице официального сайта Министерства по адресу https://mjkh.nso.ru/ (далее - сайт Министерства), на котором размещается объявление о проведении отбора, о его отмене, информация о ходе и результатах отбора.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13. Объявление о проведении отбора размеща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ется Министерством на едином портале и на официальном сайте Министерства не менее чем за 30 календарных дней до наступления срока окончания приема заявок, установленного частью 6 статьи 15 Закона Новосибирской области № 360-ОЗ. Объявление должно содержать: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1) дату размещения объявления о проведении отбора на едином портале и официальном сайте Министерства;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2) сроки проведения отбора: дата и время начала (окончания) подачи (приема) заявок участников отбора;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3) наименование, место нахождения, почтовый адрес, </w:t>
      </w:r>
      <w:r>
        <w:rPr>
          <w:rFonts w:ascii="Times New Roman" w:hAnsi="Times New Roman" w:cs="Times New Roman"/>
          <w:color w:val="000000"/>
          <w:sz w:val="28"/>
          <w:szCs w:val="28"/>
          <w:highlight w:val="white"/>
          <w:shd w:val="clear" w:color="auto" w:fill="ffffff"/>
        </w:rPr>
        <w:t xml:space="preserve">адрес электронной почты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 Министерства;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4) результаты предоставления Субсидии, установленные пунктом 40 настоящего Порядка;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5) цели предоставления Субсидии, установленные пунктом 3 настоящего Порядка;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6) доменное и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мя и (или) указатели страниц государственной интегрированной информационной системы управления общественными финансами «Электронный бюджет» (далее - система «Электронный бюджет») в сети «Интернет», в случае проведения отбора в системе «Электронный бюджет»;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7) требования, предъявляемые к участникам отбора, установленные пунктами 15 и 26 настоящего Порядка, </w:t>
      </w:r>
      <w:r>
        <w:rPr>
          <w:rFonts w:ascii="Times New Roman" w:hAnsi="Times New Roman" w:cs="Times New Roman"/>
          <w:color w:val="000000"/>
          <w:sz w:val="28"/>
          <w:szCs w:val="28"/>
          <w:highlight w:val="white"/>
          <w:shd w:val="clear" w:color="auto" w:fill="ffffff"/>
        </w:rPr>
        <w:t xml:space="preserve">и перечню документов, представляемых участниками отбора для подтверждения их соответствия указанным требованиям в соответствии с пунктом 17 настоящего Порядка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;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8) критерии отбора;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9) категории получателей Субсидии, установленные пунктом 5 настоящего Порядка;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10) порядок подачи заявок на Субсидию и требования, предъявляемые к форме и содержанию заявки, установленные пунктом 16 настоящего Порядка;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11) порядок отзыва заявок, </w:t>
      </w:r>
      <w:r>
        <w:rPr>
          <w:rFonts w:ascii="Times New Roman" w:hAnsi="Times New Roman" w:cs="Times New Roman"/>
          <w:color w:val="000000"/>
          <w:sz w:val="28"/>
          <w:szCs w:val="28"/>
          <w:highlight w:val="white"/>
          <w:shd w:val="clear" w:color="auto" w:fill="ffffff"/>
        </w:rPr>
        <w:t xml:space="preserve">порядок возврата заявок, определяющий в том числе основания для возврата заявок, порядок внесения изменений в заявки 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на Субсидию участниками отбора, установленные пунктами 19, 20 настоящего Порядка;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12) правила рассмотрения и оценки заявок, установленные пунктами 22, 23, 24, 25, 26, 27 настоящего Порядка;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13) порядок возврата заявок на доработку;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14) сведения об общем объеме Субсидии, распределяемой в рамках отбора, методика расчета размера субсидии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 согласно 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приложению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 к настоящему Порядку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, правила распределения Субсидии по результатам отбора;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15) порядок предоставления участникам отбора разъяснений положений объявления о проведении отбора, с указанием даты начала и окончания срока такого предоставления, установленных пунктом 14 настоящего Порядка;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16) сроки, в течение которых победители отбора должны подписать соглашение о предоставлении Субсидии;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17) условия признания победителя (победителей) отбора уклонившимся от заключения соглашения;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18) сроки размещения результатов отбора на едином портале, а также официальном сайте Министерства, которые не могут быть позднее 14-го календарного дня, следующего за днем определения победителя отбора.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Срок приема заявок составляет не менее 10 календарных дней, следующих за днем размещения объявления о проведении отбора на едином портале и на сайте Министерства.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14. В течение срока приема заявок Министерство осуществляет консультирование участников отбора по вопросам подготовки заявок путем письменных ответов на обращения, по телефону и при личном обращении представителя участника отбора.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Разъяснения положений объявления о приеме заявок предоставляются участникам отбора в течение пяти рабочих дней с момента поступления письменного обращения официальным письмом Министерства.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Ответ (разъяснение положений) направляется по почтовому адресу либо по адресу электронной почты в зависимости от способа, указанного в обращении участника отбора.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15. В зависимости от выбранного собственниками помещений способа формирования фонда капитального ремонта заявку на Субсидию представляют следующие Организации: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1) региональный оператор, созданный соответствии с ЖК РФ (далее – региональный оператор), в случае формирования фонда капитального ремонта на счете (счетах) регионального оператора;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2) в случае формирования фонда капитального ремонта на специальном счете: 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а) товарищества собственников жилья, жилищные, жилищно-строительные кооперативы, созданные в соответствии с ЖК РФ, в случае, если собственники 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помещений в многоквартирном доме приняли решение о формировании фонда капитального ремонта на специальном счете и определили товарищество собственников жилья, жилищный, жилищно-строительный кооператив в качестве владельца специального счета;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б) управляющие организации в случаях, если собственники помещений в многоквартирном доме заключили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 договор управления многоквартирным домом с управляющей организацией и приняли решение о формировании фонда капитального ремонта на специальном счете и определении управляющей организации или регионального оператора в качестве владельца специального счета;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в) региональный оператор в случае, если собственниками поме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щений в многоквартирном доме реализуется непосредственная форма управления многоквартирным домом и принято решение о формировании фонда капитального ремонта на специальном счете и определении регионального оператора в качестве владельца специального счета.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16. Для участия в отборе с 1 января 2024 года до 1 января 2025 года Организации представляют в Министерство заявки о предоставлении Субсидии.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Заявка может быть представлена лично руководителем Организации либо через представителя по доверенности, посредством почтового отправления, либо в электронном виде.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Заявка оформляется по форме, утверждаемой приказом Министерства, с указанием адреса многоквартирного дома, в котором планируется проведение капитального ремонта, перечня услуг и (или) работ по капитальному ремонту общего иму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щества в многоквартирном доме, почтового адреса или адреса электронной почты, по которому должен быть направлен ответ, и подписывается руководителем Организации в письменном виде либо в форме электронного письма, подписанного электронной цифровой подписью.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 </w:t>
      </w:r>
      <w:r>
        <w:rPr>
          <w:rFonts w:ascii="Times New Roman" w:hAnsi="Times New Roman"/>
          <w:spacing w:val="2"/>
          <w:sz w:val="28"/>
          <w:szCs w:val="28"/>
          <w:highlight w:val="white"/>
        </w:rPr>
        <w:t xml:space="preserve">Заявка должна содержать согласие участника отбора на публикацию (размещение) в информационно-телекоммуникационной сети «Интернет» информации</w:t>
      </w:r>
      <w:r>
        <w:rPr>
          <w:rFonts w:ascii="Times New Roman" w:hAnsi="Times New Roman"/>
          <w:sz w:val="28"/>
          <w:szCs w:val="28"/>
          <w:highlight w:val="white"/>
        </w:rPr>
        <w:t xml:space="preserve">, содержащейся в заявке на Субсидию об участн</w:t>
      </w:r>
      <w:r>
        <w:rPr>
          <w:rFonts w:ascii="Times New Roman" w:hAnsi="Times New Roman"/>
          <w:sz w:val="28"/>
          <w:szCs w:val="28"/>
          <w:highlight w:val="white"/>
        </w:rPr>
        <w:t xml:space="preserve">ике отбора, о подаваемом участником отбора предложении (заявке), иной информации об участнике отбора, связанной с соответствующим отбором, а также согласие на обработку персональных данных (для физического лица), и перечне документов, прилагаемых к заявке.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Для участия в отборе после 1 января 2025 года Организации формируют заявку в электронной форме посредством заполнения соответствую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щих экранных форм веб-интерфейса системы «Электронный бюджет» и представляют в систему «Электронный бюджет» электронные копии документов (документов на бумажном носителе, преобразованных в электронную форму путем сканирования) (далее – электронная заявка).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Для подачи электронной заявки Организации должны выполнить регистрацию в системе «Электронный бюджет» с использованием федеральной государственной информационной системы «Единая система идентификации и 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форме».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Регистрация Организации в системе «Электронный бюджет» осуществляется Министерством.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Электронная заявка подписывается усиленной квалифицированной электронной подписью руководителя участника отбора или уполномоченного им лица.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С 1 января 2025 года датой представления участником отбора заявки считается день подписания участником отбора заявки с присвоением ей регистрационного номера в системе «Электронный бюджет».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17. К заявке прилагаются следующие документы: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1) копия протокола общего собрания собственников помещений в многоквартирном доме о принятии решения о проведении капитального ремонта общего имущества в этом многокварт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ирном доме, принятого в соответствии с частями 5 и 5.1 статьи 189 ЖК РФ, либо копия решения органа местного самоуправления о проведении капитального ремонта общего имущества в этом многоквартирном доме, принятого в соответствии с частью 6 статьи 189 ЖК РФ;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2) информация от организации, производящей начисление взносов на капитальный ремонт, о размере начисленных, оплаченных и израсходованных средств фонда капитального ремонта, по состоянию на 1 число года, в котором будет осуществляться капи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тальный ремонт общего имущества в многоквартирном доме согласно региональной программе капитального ремонта, нарастающим итогом с начала реализации региональной программы капитального ремонта, подтверждающая объем поступивших взносов на капитальный ремонт;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3) проектно-сметная документация на выполнение работ по ремонту, замене, модернизации лифтов с истекшим назначенным сроком службы;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4) справка о стоимости лифтового оборудования, планируемого к установке, 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выданная 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заводом-изготовителем либо подрядной организацией, привлекаемой для выполнения работ по ремонту, замене, модернизации лифтов с истекшим назначенным сроком службы;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5) копия технического заключения, свидетельствующая об истечении назначенного срока службы лифтового оборудования, подлежащего замене;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6) 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наличие согласия участника отбора на осуществление Министерством проверок соблюдения порядка и услови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й предоставления Субсидии, в том числе в части достижения результатов предоставления Субсидии, а также проверки органами государственного (муниципального) финансового контроля в соответствии со статьями 268.1 и 269.2 Бюджетного кодекса Российской Федерации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.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18. В соответствии с частью 6 статьи 15 Закона Новосибирской области № 360-ОЗ заявки направляются: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1) ежегодно до 1 мая года, в котором будет осуществляться капитальный 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ремонт общего имущества в многоквартирном доме согласно региональной программе капитального ремонта;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2) не позднее двух месяцев с момента включения многоквартирного дома в краткосрочный план реализации региональной программы капитального ремонта на текущий год, в том числе при внесении изменений в указанный краткосрочный план</w:t>
      </w:r>
      <w:r>
        <w:rPr>
          <w:highlight w:val="white"/>
        </w:rPr>
        <w:t xml:space="preserve">.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19. У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частник отбора, представивший заявку, вправе изменить или отозвать заявку до истечения срока подачи заявок путем направления в Министерство соответствующего обращения, либо формирования запроса в системе «Электронный бюджет» об изменении или отзыве заявки.</w:t>
      </w:r>
      <w:r>
        <w:rPr>
          <w:highlight w:val="white"/>
        </w:rPr>
      </w:r>
      <w:r>
        <w:rPr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Обращение об изменении или отзыве заявки направляется в Министерство в письменном виде и подписывается руководителем Организации либо в форме электронного документа, подписанного электронной цифровой подписью руководителя Организации.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Министерство н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аправляет участнику отбора уведомление о возврате заявки (далее - уведомление о возврате), в котором указывается информация о получении заявки, ее исключении из числа заявок, подлежащих рассмотрению Комиссией в соответствии с пунктом 23 настоящего Порядка.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Уведомление о возврате передается лично законному представителю участника отбора по месту нахождения Министерства, указанному в объявлении о проведении отбора, или направляется по 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адресу, указанному в заявке, почтовым отправлением заказным письмом с уведомлением о вручении либо направляется по электронной почте, указанной в заявке, в случае представления заявки в форме электронного письма, подписанного электронной цифровой подписью.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Уведомление о возврате и прилагаемые к нему документы направляются в течение 10 календарных дней с момента поступления заявления Организации.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Внесение изменений в заявку участника отбора осуществляется на основании обращения участника отбора, направляемого в адрес Министерства.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Изменение заявки или обращение о ее отзыве является действительным, если обращение об изменении или отзыве получено Министерством до истечения срока подачи заявок и подписано уполномоченным лицом.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Отозванные заявки не учитываются при определении количества заявок, представленных на участие в отборе.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Отзыв заявки не препятствует повторной подаче заявки со стороны участника отбора, но не позднее даты окончания приема заявок, указанной в объявлении о проведении отбора. </w:t>
      </w:r>
      <w:r>
        <w:rPr>
          <w:highlight w:val="white"/>
        </w:rPr>
      </w:r>
      <w:r>
        <w:rPr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Возврат заявок на доработку Министерством не осуществляется.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20. Заявка, поступившая после истечения срока подачи заявок, не рассматривается и возвращается в течение 10 рабочих дней с момента получения почтовым отправлением по адресу, указан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ному в обращении, заказным письмом с уведомлением о вручении, либо передается лично законному представителю участника отбора по месту нахождения Министерства, указанному в объявлении о проведении отбора, либо направляется в электронном виде на электронный 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адрес, указанный в заявке.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40"/>
          <w:szCs w:val="40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21. Министерство регистрирует заявки в день поступления и в течение 3 рабочих дней с даты окончания приема заявок, указанн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ой в объявлении о проведении отбора, направляет в органы местного самоуправления муниципальных образований Новосибирской области, на территории которых расположены многоквартирные дома, претендующие на предоставление Субсидии в текущем году, предложение о 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софинансировании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 целевых расходов по капитальному ремонту за счет средств местных бюджетов в соответствии с пунктом 8 настоящего Порядка (далее - предложение).</w:t>
      </w:r>
      <w:r>
        <w:rPr>
          <w:rFonts w:ascii="Times New Roman" w:hAnsi="Times New Roman" w:cs="Times New Roman"/>
          <w:spacing w:val="2"/>
          <w:sz w:val="40"/>
          <w:szCs w:val="40"/>
          <w:highlight w:val="white"/>
        </w:rPr>
      </w:r>
      <w:r>
        <w:rPr>
          <w:rFonts w:ascii="Times New Roman" w:hAnsi="Times New Roman" w:cs="Times New Roman"/>
          <w:spacing w:val="2"/>
          <w:sz w:val="40"/>
          <w:szCs w:val="40"/>
          <w:highlight w:val="white"/>
        </w:rPr>
      </w:r>
    </w:p>
    <w:p>
      <w:pPr>
        <w:pStyle w:val="1040"/>
        <w:ind w:firstLine="709"/>
        <w:jc w:val="both"/>
        <w:rPr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Если по окончании срока подачи заявок не зарегистрировано ни одной заявки, либо все заявки отозваны или отклонены, либо все претенденты не допущены к отбору, отбор признается несостоявшимся.</w:t>
      </w:r>
      <w:r>
        <w:rPr>
          <w:highlight w:val="white"/>
        </w:rPr>
      </w:r>
      <w:r>
        <w:rPr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Информация о признании отбора несостоявшимся размещается на едином портале и официальном сайте.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pacing w:val="2"/>
          <w:sz w:val="40"/>
          <w:szCs w:val="40"/>
          <w:highlight w:val="white"/>
        </w:rPr>
      </w:pPr>
      <w:r>
        <w:rPr>
          <w:rFonts w:ascii="Times New Roman" w:hAnsi="Times New Roman" w:cs="Times New Roman"/>
          <w:spacing w:val="2"/>
          <w:sz w:val="40"/>
          <w:szCs w:val="40"/>
          <w:highlight w:val="white"/>
        </w:rPr>
      </w:r>
      <w:r>
        <w:rPr>
          <w:rFonts w:ascii="Times New Roman" w:hAnsi="Times New Roman" w:cs="Times New Roman"/>
          <w:spacing w:val="2"/>
          <w:sz w:val="40"/>
          <w:szCs w:val="40"/>
          <w:highlight w:val="white"/>
        </w:rPr>
      </w:r>
      <w:r>
        <w:rPr>
          <w:rFonts w:ascii="Times New Roman" w:hAnsi="Times New Roman" w:cs="Times New Roman"/>
          <w:spacing w:val="2"/>
          <w:sz w:val="40"/>
          <w:szCs w:val="40"/>
          <w:highlight w:val="white"/>
        </w:rPr>
      </w:r>
    </w:p>
    <w:p>
      <w:pPr>
        <w:pStyle w:val="1040"/>
        <w:jc w:val="center"/>
        <w:rPr>
          <w:rFonts w:ascii="Times New Roman" w:hAnsi="Times New Roman" w:cs="Times New Roman"/>
          <w:b/>
          <w:bCs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b/>
          <w:bCs/>
          <w:spacing w:val="2"/>
          <w:sz w:val="28"/>
          <w:szCs w:val="28"/>
          <w:highlight w:val="white"/>
        </w:rPr>
        <w:t xml:space="preserve">III. Порядок рассмотрения поступивших заявок и распределения субсидии</w:t>
      </w:r>
      <w:r>
        <w:rPr>
          <w:rFonts w:ascii="Times New Roman" w:hAnsi="Times New Roman" w:cs="Times New Roman"/>
          <w:b/>
          <w:bCs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b/>
          <w:bCs/>
          <w:spacing w:val="2"/>
          <w:sz w:val="28"/>
          <w:szCs w:val="28"/>
          <w:highlight w:val="white"/>
        </w:rPr>
      </w:r>
    </w:p>
    <w:p>
      <w:pPr>
        <w:pStyle w:val="1040"/>
        <w:jc w:val="center"/>
        <w:rPr>
          <w:rFonts w:ascii="Times New Roman" w:hAnsi="Times New Roman" w:cs="Times New Roman"/>
          <w:b/>
          <w:bCs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b/>
          <w:bCs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b/>
          <w:bCs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b/>
          <w:bCs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22. В целях рассмотрения поступивших заявок Министерством 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создается комиссия по отбору получателей Субсидии (далее - Комиссия), которая проводит отбор путем рассмотрения и оценки заявок участников отбора. Комиссия действует в соответствии с Положением о комиссии по отбору получателей Субсидии (далее - Положение).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Положение о комиссии и ее состав утверждаются приказом Министерства.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23. Комиссия в течение семи рабочих дней со дня окончания срока приема конкурсных заявок проводит заседание, на котором: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1) осуществляет проверку представленных Организациями документов на предмет достоверности и соответствия требованиям, предусмотренным пунктами 15, 16, 17 настоящего Порядка;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2) по результатам рассмотрения конкурсных заявок и прилагаемых к ним документов принимает решение о соответствии (несоответствии) Организации и документов требованиям настоящего Порядка;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3) в случае соответствия Организации и представленных ей документов требованиям настоящего Порядка принимает решение о допуске Организации к участию в отборе;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4) в случае несоответствия Организации и (или) представленных ею документов требованиям настоящего Порядка принимает решение об отклонении заявок и об отказе в участии в отборе;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5)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  <w:lang w:val="en-US"/>
        </w:rPr>
        <w:t xml:space="preserve"> 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определяет победителя (победителей) и принимает решение об определении победителя (победителей) отбора или его отсутствии (далее – Решение Комиссии).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24. Основаниями для отклонения заявки участника отбора являются: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1) </w:t>
      </w:r>
      <w:r>
        <w:rPr>
          <w:rFonts w:ascii="Times New Roman" w:hAnsi="Times New Roman"/>
          <w:sz w:val="28"/>
          <w:szCs w:val="28"/>
          <w:highlight w:val="white"/>
        </w:rPr>
        <w:t xml:space="preserve">несоответствие участника отбора требованиям, установленным в пункте </w:t>
      </w:r>
      <w:r>
        <w:rPr>
          <w:rFonts w:ascii="Times New Roman" w:hAnsi="Times New Roman"/>
          <w:sz w:val="28"/>
          <w:szCs w:val="28"/>
          <w:highlight w:val="white"/>
        </w:rPr>
        <w:t xml:space="preserve">25 настоящего Порядка;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2) непредставление (представление не в полном объеме) документов, указанных в пункте 17 настоящего Порядка;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3) несоответствие заявки условиям предоставления Субсидии, установленным пунктами 3, 5, 6, 8, 15, 16, настоящего Порядка;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4) представление недостоверных сведений, в том числе информации о месте нахождения и адресе Организации;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5) представление заявки до опубликования объявления о проведении отбора, установленного пунктом 13 настоящего Порядка;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6) представление заявки до или после срока проведения отбора;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7) отсутствие бюджетных ассигнований;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8) отказ органа местного самоуправления от 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софинансирования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 мероприятий по капитальному ремонту.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При на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личии оснований для отклонения конкурсной заявки Министерство в течение трех рабочих дней со дня проведения заседания Комиссии информирует Организацию об отклонении заявки с указанием причин отклонения по адресу, указанному в заявке, почтовым отправлением 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либо направляется в электронном виде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 на адрес электронной почты, указанный в заявке.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25. Проверка соответствия заявки условиям предоставления Субсидии осуществляется комиссией на основании представленных в составе заявки документов.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26. Организация, представившая заявку, по состоянию на 1 число месяца, предшествующего месяцу, в котором планируется проведение отбора, должна соответствовать следующим требованиям: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1) у Ор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ганизации на едином налоговом счете отсутствует или не превышает размер, определенный пунктом 3 статьи 47 Налогового кодекса Российской Федерации, задолженность по уплате налогов, сборов и страховых взносов в бюджеты бюджетной системы Российской Федерации;</w:t>
      </w:r>
      <w:r>
        <w:rPr>
          <w:highlight w:val="white"/>
        </w:rPr>
      </w:r>
      <w:r>
        <w:rPr>
          <w:highlight w:val="white"/>
        </w:rPr>
      </w:r>
    </w:p>
    <w:p>
      <w:pPr>
        <w:pStyle w:val="1040"/>
        <w:ind w:firstLine="709"/>
        <w:jc w:val="both"/>
        <w:rPr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2) Организация не является иностранным юридическим лицом, в том числе местом регистрации которого явл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яется государство или территория, включенные в утвержденный Министерством финансов Российской Федерации перечень государств и территорий, используемых для промежуточного (офшорного) владения активами в Российской Федерации (далее - офшорные компании), а та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кже российским юридическим лицом, в уставном (складочном) капитале которого доля прямого или косвенного (через третьих лиц) участия офшорных компаний в совокупности превышает 25 процентов (если иное не предусмотрено законодательством Российской Федерации).</w:t>
      </w:r>
      <w:r>
        <w:rPr>
          <w:highlight w:val="white"/>
        </w:rPr>
      </w:r>
      <w:r>
        <w:rPr>
          <w:highlight w:val="white"/>
        </w:rPr>
      </w:r>
    </w:p>
    <w:p>
      <w:pPr>
        <w:pStyle w:val="1040"/>
        <w:ind w:firstLine="709"/>
        <w:jc w:val="both"/>
        <w:rPr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При расчете доли участия офшорных компаний в капитале российских юридических лиц не учитывается прямое и (или) косвенное участие офшорных компаний в капитале публичных акционер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ных обществ (в том числе со статусом международной компании), акции которых обращаются на организованных торгах в Российской Федерации, а также косвенное участие офшорных компаний в капитале других российских юридических лиц, реализованное через участие в 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капитале указанных публичных акционерных обществ;</w:t>
      </w:r>
      <w:r>
        <w:rPr>
          <w:highlight w:val="white"/>
        </w:rPr>
      </w:r>
      <w:r>
        <w:rPr>
          <w:highlight w:val="white"/>
        </w:rPr>
      </w:r>
    </w:p>
    <w:p>
      <w:pPr>
        <w:pStyle w:val="1040"/>
        <w:ind w:firstLine="709"/>
        <w:jc w:val="both"/>
        <w:rPr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3) Организация не получает средства из областного бюджета Новосибирской области на основании иных нормативных правовых актов Новосибирской области на проведение капитального ремонта общего имущества в многоквартирных домах;</w:t>
      </w:r>
      <w:r>
        <w:rPr>
          <w:highlight w:val="white"/>
        </w:rPr>
      </w:r>
      <w:r>
        <w:rPr>
          <w:highlight w:val="white"/>
        </w:rPr>
      </w:r>
    </w:p>
    <w:p>
      <w:pPr>
        <w:pStyle w:val="1040"/>
        <w:ind w:firstLine="709"/>
        <w:jc w:val="both"/>
        <w:rPr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4) Организация не находится в перечне организаций и физических лиц, в отношении которых имеются сведения об их причастности к экстремистской деятельности или терроризму;</w:t>
      </w:r>
      <w:r>
        <w:rPr>
          <w:highlight w:val="white"/>
        </w:rPr>
      </w:r>
      <w:r>
        <w:rPr>
          <w:highlight w:val="white"/>
        </w:rPr>
      </w:r>
    </w:p>
    <w:p>
      <w:pPr>
        <w:pStyle w:val="1040"/>
        <w:ind w:firstLine="709"/>
        <w:jc w:val="both"/>
        <w:rPr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5) Организация не находится в составляемых в рамках реализации полномочий, предусмотренных главой VII Ус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тава ООН, Советом Безопасности ООН или органами, специально созданными решениями Совета Безопасности ООН, перечнях организаций и физических лиц, связанных с террористическими организациями и террористами или с распространением оружия массового уничтожения;</w:t>
      </w:r>
      <w:r>
        <w:rPr>
          <w:highlight w:val="white"/>
        </w:rPr>
      </w:r>
      <w:r>
        <w:rPr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6) Организация не является иностранным агентом в соответствии с Федеральным законом от 14.07.2022 № 255-ФЗ «О контроле за деятельностью лиц, находящихся под иностранным влиянием»;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7) у Организации должн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а отсутствовать просроченная задолженность по возврату в областной бюджет субсидий, бюджетных инвестиций, предоставленных в том числе в соответствии с иными правовыми актами, и иная просроченная задолженность перед областным бюджетом Новосибирской области;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8) Организация не должна находиться в процессе реорганизации, ликвидации, в отношении её не должна быть введена процедура банкротства, деятельность Организации не должна быть приостановлена в порядке, предусмотренном законодательством Российской Федерации;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9) в реестре дисквалифицированных лиц должны отсутствовать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Организации.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tabs>
          <w:tab w:val="left" w:pos="1134" w:leader="none"/>
        </w:tabs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27. 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Проверка соответствия участников отбора требованиям, установленным пунктом 26 настоящего Порядка, осуществляетс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я Министерством самостоятельно, в том числе на основании сведений, имеющихся в Министерстве, министерстве финансов и налоговой политики Новосибирской области, а также информации, размещенной на официальных сайтах Федеральной налоговой службы (www.nalog.ru)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, арбитражных судов (www.arbitr.ru), Министерства юстиции Российской Федерации (www.minjust.ru), Федеральной службы по финансовому мониторингу Российской Федерации (www.fedsfm.ru), в течение 20 рабочих дней с даты окончания приема заявок участников отбора.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tabs>
          <w:tab w:val="left" w:pos="1134" w:leader="none"/>
        </w:tabs>
        <w:rPr>
          <w:rFonts w:ascii="Times New Roman" w:hAnsi="Times New Roman" w:cs="Times New Roman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Участник отбора вправе самостоятельно представить в Министерство документы, подтверждающие соответствие требованиям, установленным пунктом 26 настоящего Порядка.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28. Распределение средств Субсидии осуществляется Комиссией на 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основании представленных заявок в соответствии с методикой расчета Субсидии на проведение капитального ремонта общего имущества в многоквартирных домах, утвержденной согласно приложению к настоящему Порядку.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29. В случае если объем бюджетных ассигнований не позволяет предоставить Субсидию всем участникам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 отбора, ранжирование осуществляется в даты регистрации Министерством входящей заявки (начиная с даты публикации объявления о проведении отбора и заканчивая датой окончания приема заявок). Приоритет отдается заявкам, представленным в наиболее ранние сроки.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30. Решение Комиссии оформляется в течение 5 рабочих дней со дня проведения заседания комиссии и представляется в Министерство.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Решение Комиссии должно содержать информацию о: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1) дату, время и место проведения рассмотрения заявок;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2) информацию об участниках отбора, заявки которых были рассмотрены;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3) информация об участниках отбора, заявки которых были отклонены, с указанием причин их отклонения, в том числе положений объявления о проведении отбора, которые не соответствуют заявки;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4) наименование получателя (получателей) Субсидии, с которыми заключается соглашение, и размер предоставляемой ему Субсидии.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С 1 января 2025 года протокол вскрытия заявок, протокол рассмотрения заявок, протокол подведения итогов отбора формируются и подписываются усиленной квалифи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цированной электронной подписью министра жилищно-коммунального хозяйства и энергетики Новосибирской области на едином портале в системе «Электронный бюджет» и размещаются на едином портале не позднее первого рабочего дня, следующего за днем его подписания.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31. Министерство в течение 7 рабочих дней с момента представления Решения Комиссии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 осуществляет проверку представленных Организациями документов на предмет достоверности и соответствия требованиям, предусмотренным пунктами 15, 16, 17, 26 настоящего Порядка и принимает решение о предоставлении Субсидии либо об отказе в ее предоставлении.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Решение о предоставлении Субсидии оформляется приказом Министерства (далее – Приказ о предоставлении Субсидии).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32. Основаниями для отказа в предоставлении Субсидии являются: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 xml:space="preserve">1) несоответствие Организацией </w:t>
      </w:r>
      <w:r>
        <w:rPr>
          <w:rFonts w:ascii="Times New Roman" w:hAnsi="Times New Roman"/>
          <w:sz w:val="28"/>
          <w:szCs w:val="28"/>
          <w:highlight w:val="white"/>
        </w:rPr>
        <w:t xml:space="preserve">требованиям, установленным в пункте 26 настоящего Порядка;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2) непредставление (представление не в полном объеме) документов, указанных в пунктах 16, 17 настоящего Порядка;</w:t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3) установление факта недостоверности представленной Организацией информации;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4) отказ органа местного самоуправления от 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софинансирования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 мероприятий по капитальному ремонту.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33. Министерство в течение 14 календарных дней, следующих за днем определения победителя отбора, обеспечивает размещение информации о результатах рассмотрения заявок на сайте Министерства, включающей 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следующие сведения: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1) дата, время и место проведения рассмотрения заявок;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2) информация об участниках отбора, заявки которых были рассмотрены;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3) информация об участниках отбора, заявки которых были отклонены, с указанием причин их отклонения, в том числе положений объявления о проведении отбора, которым не соответствуют заявки;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4) информация об участниках отбора, с которыми заключаются соглашения, и размер предоставляемой Субсидии.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34. В течение 10 рабочих дней со дня оформления Решения комиссии Министерство направляет участникам отбора, которым отказано в предоставлении Субсидии, уведомление с указанием причин отказа.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</w:p>
    <w:p>
      <w:pPr>
        <w:pStyle w:val="1040"/>
        <w:jc w:val="center"/>
        <w:rPr>
          <w:rFonts w:ascii="Times New Roman" w:hAnsi="Times New Roman" w:cs="Times New Roman"/>
          <w:b/>
          <w:bCs/>
          <w:color w:val="000000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b/>
          <w:bCs/>
          <w:color w:val="000000"/>
          <w:spacing w:val="2"/>
          <w:sz w:val="28"/>
          <w:szCs w:val="28"/>
          <w:highlight w:val="white"/>
        </w:rPr>
        <w:t xml:space="preserve">IV. Требования к соглашениям</w:t>
      </w:r>
      <w:r>
        <w:rPr>
          <w:rFonts w:ascii="Times New Roman" w:hAnsi="Times New Roman" w:cs="Times New Roman"/>
          <w:b/>
          <w:bCs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b/>
          <w:bCs/>
          <w:color w:val="000000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35. 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Субсидия 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предоставляется на основании соглашения, заключаемого между Министерством и победителем отбора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 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в соответствии с типовой формой, устанавливаемой министерством финансов и налоговой политики Новосибирской области (далее – Соглашение), в течение 15 рабочих дней со дня размещения на сайте Министерства информации о результатах рассмотрения заявок.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  <w:r>
        <w:rPr>
          <w:highlight w:val="white"/>
        </w:rPr>
      </w:r>
    </w:p>
    <w:p>
      <w:pPr>
        <w:pStyle w:val="1040"/>
        <w:ind w:firstLine="709"/>
        <w:jc w:val="both"/>
        <w:rPr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С 1 января 2025 года Соглашение 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между Министерством и победителем отбора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 заключается 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в системе «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Электронный бюджет».</w:t>
      </w:r>
      <w:r>
        <w:rPr>
          <w:highlight w:val="white"/>
        </w:rPr>
      </w:r>
      <w:r>
        <w:rPr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 xml:space="preserve">36. Обязательными условиями предоставления Субсидии Министерством, включаемыми в Соглашение и договоры (соглашения), заключенные в целях исполнения обязательств по этому Соглашению, являются:</w:t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 xml:space="preserve">1) согласие 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победителем отбора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 и лиц, являющихся поставщиками (подрядчиками, исполнителями) по договорам (соглашениям), заключенным в целях исполнения обязательств по Соглашению, на осуществление Министерством и органом государ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ственного финансового контроля проверок соблюдения ими условий и порядка предоставления Субсидии, в том числе в части достижения результатов предоставления Субсидии, проверок в соответствии со статьями 268.1 и 269.2 Бюджетного кодекса Российской Федерации;</w:t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 xml:space="preserve">2) запрет приобретения за счет полученных средств иностранной валюты, за исключением операций, осуществляемых в соответствии с валютны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м законодательством Российской Федерации при закупке (поставке) высокотехнологичного импортного оборудования, сырья и комплектующих изделий, а также связанных с достижением результатов предоставления Субсидии иных операций, определенных настоящим Порядком;</w:t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 xml:space="preserve">3) требование о согласовании новых условия Соглашения или о расторжении Соглашения при 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недостижении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 согласия по новым условиям, в случае уменьшения главному распорядителю бюджетных средств ранее доведенных лимитов бюджетных обязательств, приводящего к невозможности предоставления субсидии в размере, определенном в Соглашении;</w:t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 xml:space="preserve">4) значения результатов предоставления Субсидии;</w:t>
      </w:r>
      <w:r>
        <w:rPr>
          <w:highlight w:val="white"/>
        </w:rPr>
      </w:r>
      <w:r>
        <w:rPr>
          <w:highlight w:val="white"/>
        </w:rPr>
      </w:r>
    </w:p>
    <w:p>
      <w:pPr>
        <w:pStyle w:val="1040"/>
        <w:ind w:firstLine="709"/>
        <w:jc w:val="both"/>
        <w:rPr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 xml:space="preserve">5) меры ответственности за нарушение условий и порядка предоставления 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Субсидии;</w:t>
      </w:r>
      <w:r>
        <w:rPr>
          <w:highlight w:val="white"/>
        </w:rPr>
      </w:r>
      <w:r>
        <w:rPr>
          <w:highlight w:val="white"/>
        </w:rPr>
      </w:r>
    </w:p>
    <w:p>
      <w:pPr>
        <w:pStyle w:val="1040"/>
        <w:ind w:firstLine="709"/>
        <w:jc w:val="both"/>
        <w:rPr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 xml:space="preserve">6) порядок и условия его расторжения;</w:t>
      </w:r>
      <w:r>
        <w:rPr>
          <w:highlight w:val="white"/>
        </w:rPr>
      </w:r>
      <w:r>
        <w:rPr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 xml:space="preserve">7) требования к отчетности, подтверждающие результаты предоставления Субсидии.</w:t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 xml:space="preserve">При реорган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изации Организации, в форме слияния, присоединения или преобразования в соглашение вносятся изменения путем заключения дополнительного соглашения в части перемены лица в обязательстве с указанием в соглашении юридического лица, являющегося правопреемником.</w:t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 xml:space="preserve">При реорган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изации Организации, в форме разделения, выделения, а также ликвидации Организации или прекращении деятельности Организаций, соглашение расторгается с формированием уведомления о расторжении соглашения в одностороннем порядке и акта об исполнении обязательс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тв по соглашению с отражением информации о неисполненных Организацией обязательств, источником финансового обеспечения которых является субсидия, и возврате неиспользованного остатка субсидии в соответствующий бюджет бюджетной системы Российской Федерации.</w:t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1040"/>
        <w:jc w:val="center"/>
        <w:rPr>
          <w:rFonts w:ascii="Times New Roman" w:hAnsi="Times New Roman" w:cs="Times New Roman"/>
          <w:b/>
          <w:bCs/>
          <w:sz w:val="28"/>
          <w:szCs w:val="28"/>
          <w:highlight w:val="white"/>
        </w:rPr>
      </w:pPr>
      <w:r>
        <w:rPr>
          <w:rFonts w:ascii="Times New Roman" w:hAnsi="Times New Roman" w:cs="Times New Roman"/>
          <w:b/>
          <w:bCs/>
          <w:sz w:val="28"/>
          <w:szCs w:val="28"/>
          <w:highlight w:val="white"/>
        </w:rPr>
        <w:t xml:space="preserve">V. Порядок перечисления средств субсидии на счет получателя</w:t>
      </w:r>
      <w:r>
        <w:rPr>
          <w:rFonts w:ascii="Times New Roman" w:hAnsi="Times New Roman" w:cs="Times New Roman"/>
          <w:b/>
          <w:bCs/>
          <w:sz w:val="28"/>
          <w:szCs w:val="28"/>
          <w:highlight w:val="whit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 xml:space="preserve">37. Субсидия перечисляется на лицевой счет Организац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ии, открытый в Управлении Федерального казначейства по Новосибирской области, в течение 10 рабочих дней, с момента представления заявки на финансирование оформленной в произвольной форме с указанием адреса многоквартирного дома, в котором выполнены работы 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по ремонту, замене, модернизации лифтов с истекшим назначенным сроком службы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, с приложением следующих документов:</w:t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 xml:space="preserve">1) актов 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приемки оказанных услуг и (или) выполненных работ по капитальному ремонту многоквартирного дома, согласованных с органом местного самоуправления и подписанных лицами, которые уполномочены действовать от имени собственников помещений в многоквартирном доме;</w:t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 xml:space="preserve">2) уведомления об открытии лицевого счета в Управлении Федерального казначейства по Новосибирской области, с указанием его реквизитов;</w:t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 xml:space="preserve">3) копии положительного заключения о проверке (экспертизе) сметной стоимости строительства объектов капитального ремонта;</w:t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 xml:space="preserve">4) копии акта ввода лифта в эксплуатацию.</w:t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 xml:space="preserve">5) копии договоров, заключенных с подрядными организациями, на выполнение работ 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по ремонту, замене, модернизации лифтов с истекшим назначенным сроком службы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.</w:t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 xml:space="preserve">38. Основаниями для отказа в перечислении Субсидии на лицевой счет Организации являются:</w:t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 xml:space="preserve">1) 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непредставление (представление не в полном объеме) документов, указанных в пункте 37 настоящего Порядка;</w:t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2) недостоверность представленной Организацией информации;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3) несоответствие Организации требованиям, установленным пунктом 26 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настоящего Порядка.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39. Размер Субсидии, предоставляемой на 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выполнение работ по ремонту, замене, модернизации лифтов с истекшим назначенным сроком службы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, в случаях, если стоимость фактически выполненных работ по договору подряда снизилась в результате экономии по сравнению со стоимостью, указанной в Приказе о предоставлении Субсидии, уменьшается пропорционально снижению стоимости.</w:t>
      </w:r>
      <w:r>
        <w:rPr>
          <w:highlight w:val="white"/>
        </w:rPr>
      </w:r>
      <w:r>
        <w:rPr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 xml:space="preserve">В случае снижения размера Субсидии Министерством вносятся соответствующие изменения в Приказ о предоставлении Субсидии.</w:t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color w:val="000000"/>
          <w:spacing w:val="2"/>
          <w:sz w:val="40"/>
          <w:szCs w:val="40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 xml:space="preserve">Средства Субсидии, не использованные Организациями, подлежат возврату в областной бюджет Новосибирской области.</w:t>
      </w:r>
      <w:r>
        <w:rPr>
          <w:rFonts w:ascii="Times New Roman" w:hAnsi="Times New Roman" w:cs="Times New Roman"/>
          <w:color w:val="000000"/>
          <w:spacing w:val="2"/>
          <w:sz w:val="40"/>
          <w:szCs w:val="40"/>
          <w:highlight w:val="white"/>
        </w:rPr>
      </w:r>
      <w:r>
        <w:rPr>
          <w:rFonts w:ascii="Times New Roman" w:hAnsi="Times New Roman" w:cs="Times New Roman"/>
          <w:color w:val="000000"/>
          <w:spacing w:val="2"/>
          <w:sz w:val="40"/>
          <w:szCs w:val="40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1040"/>
        <w:jc w:val="center"/>
        <w:rPr>
          <w:rFonts w:ascii="Times New Roman" w:hAnsi="Times New Roman" w:cs="Times New Roman"/>
          <w:b/>
          <w:bCs/>
          <w:sz w:val="28"/>
          <w:szCs w:val="28"/>
          <w:highlight w:val="white"/>
        </w:rPr>
      </w:pPr>
      <w:r>
        <w:rPr>
          <w:rFonts w:ascii="Times New Roman" w:hAnsi="Times New Roman" w:cs="Times New Roman"/>
          <w:b/>
          <w:bCs/>
          <w:sz w:val="28"/>
          <w:szCs w:val="28"/>
          <w:highlight w:val="white"/>
        </w:rPr>
        <w:t xml:space="preserve">VI. Результаты предоставления субсидии</w:t>
      </w:r>
      <w:r>
        <w:rPr>
          <w:rFonts w:ascii="Times New Roman" w:hAnsi="Times New Roman" w:cs="Times New Roman"/>
          <w:b/>
          <w:bCs/>
          <w:sz w:val="28"/>
          <w:szCs w:val="28"/>
          <w:highlight w:val="whit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 xml:space="preserve">40. Результатом предоставления Субсидии Организации является:</w:t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 xml:space="preserve">1) замена лифта, с истекшим назначенным сроком службы, не позднее 31 декабря года, в котором принято решение о предоставление Субсидии в соответствии с пунктом 31 настоящего Порядка;</w:t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 xml:space="preserve">2) финансовое обеспечение работ по замене лифта, с истекшим назначенным сроком службы, подтвержденное платежным документом на оплату средств Субсидии подрядной организации, привлека</w:t>
      </w:r>
      <w:bookmarkStart w:id="1" w:name="_GoBack"/>
      <w:r/>
      <w:bookmarkEnd w:id="1"/>
      <w:r>
        <w:rPr>
          <w:rFonts w:ascii="Times New Roman" w:hAnsi="Times New Roman" w:cs="Times New Roman"/>
          <w:sz w:val="28"/>
          <w:szCs w:val="28"/>
          <w:highlight w:val="white"/>
        </w:rPr>
        <w:t xml:space="preserve">емой для выполнения работ 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и (или) оказания услуг по капитальному ремонту, с которой получателем Субсидии заключен договор, не позднее одного месяца с момента перечисления средств Субсидии на счет, открытый в Управлении Федерального казначейства по Новосибирской области, получателя.</w:t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</w:p>
    <w:p>
      <w:pPr>
        <w:pStyle w:val="1040"/>
        <w:jc w:val="center"/>
        <w:rPr>
          <w:rFonts w:ascii="Times New Roman" w:hAnsi="Times New Roman" w:cs="Times New Roman"/>
          <w:b/>
          <w:bCs/>
          <w:color w:val="000000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b/>
          <w:bCs/>
          <w:color w:val="000000"/>
          <w:spacing w:val="2"/>
          <w:sz w:val="28"/>
          <w:szCs w:val="28"/>
          <w:highlight w:val="white"/>
        </w:rPr>
        <w:t xml:space="preserve">VII. Порядок оценки эффективности использования субсидий</w:t>
      </w:r>
      <w:r>
        <w:rPr>
          <w:rFonts w:ascii="Times New Roman" w:hAnsi="Times New Roman" w:cs="Times New Roman"/>
          <w:b/>
          <w:bCs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b/>
          <w:bCs/>
          <w:color w:val="000000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41. В целях оценки достижения результатов предоставления Субсидии Организация в срок не позднее 1 числа месяца, следующего за месяцем, в котором было заключено Соглашение, далее 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ежеквартально до конца года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, 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в котором принято решение о предоставление Субсидии в соответствии с пунктом 31 настоящего Порядка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, представляет в Министерство:</w:t>
      </w:r>
      <w:r/>
    </w:p>
    <w:p>
      <w:pPr>
        <w:pStyle w:val="104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 отчет</w:t>
      </w:r>
      <w:r>
        <w:rPr>
          <w:rFonts w:ascii="Times New Roman" w:hAnsi="Times New Roman" w:cs="Times New Roman"/>
          <w:sz w:val="28"/>
          <w:szCs w:val="28"/>
        </w:rPr>
        <w:t xml:space="preserve"> о достижении значений результатов предоставления субсидии;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 отчет</w:t>
      </w:r>
      <w:r>
        <w:rPr>
          <w:rFonts w:ascii="Times New Roman" w:hAnsi="Times New Roman" w:cs="Times New Roman"/>
          <w:sz w:val="28"/>
          <w:szCs w:val="28"/>
        </w:rPr>
        <w:t xml:space="preserve"> об осуществлении расходов, источником финансового обеспечения которых является субсидия;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</w:rPr>
        <w:t xml:space="preserve">3) 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к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опии платежных документов, подтверждающих финансовое обеспечение затрат выполненных работ и (или) оказанных услуг по капитальному ремонту общего имущества в многоквартирном доме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.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none"/>
        </w:rPr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non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none"/>
        </w:rPr>
        <w:t xml:space="preserve">Ф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орма представления отчетов определяется Соглашением, в соответствии с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 типовыми формами соглашений, установленными приказом министерства финансов и налоговой политики Новосибирской области от 19.10.2017 № 57-НПА «Об утверждении типовой формы соглашения о 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предоставлении из областного бюджета Н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овосибирской области субсидий некоммерческим организациям, не являющимся государственными (муниципальными) учреждениями» и приказом министерства финансов и налоговой политики Новосибирской области от 27.12.2016 № 80-НПА «Об утверждении типовых форм соглаше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ний (договоров) о предоставлении из областного бюджета Новосибирской области субсидий юридическим лицам (за исключением субсидий государственным учреждениям), индивидуальным предпринимателям, а также физическим лицам - производителям товаров, работ, услуг»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.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</w:rPr>
      </w:r>
      <w:r>
        <w:rPr>
          <w:rFonts w:ascii="Times New Roman" w:hAnsi="Times New Roman" w:cs="Times New Roman"/>
          <w:color w:val="000000"/>
          <w:spacing w:val="2"/>
          <w:sz w:val="28"/>
          <w:szCs w:val="28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color w:val="000000"/>
          <w:spacing w:val="2"/>
          <w:sz w:val="40"/>
          <w:szCs w:val="40"/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none"/>
        </w:rPr>
        <w:t xml:space="preserve">42. Отчеты представляются </w:t>
      </w:r>
      <w:r>
        <w:rPr>
          <w:rFonts w:ascii="Times New Roman" w:hAnsi="Times New Roman" w:cs="Times New Roman"/>
          <w:spacing w:val="2"/>
          <w:sz w:val="28"/>
          <w:szCs w:val="28"/>
          <w:highlight w:val="white"/>
        </w:rPr>
        <w:t xml:space="preserve">Министерство в письменном виде и подписываются руководителем Организации либо в форме электронного документа, подписанного электронной цифровой подписью руководителя Организации.</w:t>
      </w:r>
      <w:r>
        <w:rPr>
          <w:rFonts w:ascii="Times New Roman" w:hAnsi="Times New Roman" w:cs="Times New Roman"/>
          <w:color w:val="000000"/>
          <w:spacing w:val="2"/>
          <w:sz w:val="40"/>
          <w:szCs w:val="40"/>
          <w:highlight w:val="white"/>
        </w:rPr>
      </w:r>
      <w:r>
        <w:rPr>
          <w:rFonts w:ascii="Times New Roman" w:hAnsi="Times New Roman" w:cs="Times New Roman"/>
          <w:color w:val="000000"/>
          <w:spacing w:val="2"/>
          <w:sz w:val="40"/>
          <w:szCs w:val="40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43. Министерство осуществляет проверку и принятие 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представленных  Организациями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отчетов в течение 10 рабочих дней с даты поступления отчета в Министерство.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1040"/>
        <w:jc w:val="center"/>
        <w:rPr>
          <w:rFonts w:ascii="Times New Roman" w:hAnsi="Times New Roman" w:cs="Times New Roman"/>
          <w:b/>
          <w:bCs/>
          <w:color w:val="000000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b/>
          <w:bCs/>
          <w:color w:val="000000"/>
          <w:spacing w:val="2"/>
          <w:sz w:val="28"/>
          <w:szCs w:val="28"/>
          <w:highlight w:val="white"/>
        </w:rPr>
        <w:t xml:space="preserve">VIII. Основания и порядок применения мер ответственности за нарушения условий соглашений</w:t>
      </w:r>
      <w:r>
        <w:rPr>
          <w:rFonts w:ascii="Times New Roman" w:hAnsi="Times New Roman" w:cs="Times New Roman"/>
          <w:b/>
          <w:bCs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b/>
          <w:bCs/>
          <w:color w:val="000000"/>
          <w:spacing w:val="2"/>
          <w:sz w:val="28"/>
          <w:szCs w:val="28"/>
          <w:highlight w:val="white"/>
        </w:rPr>
      </w:r>
    </w:p>
    <w:p>
      <w:pPr>
        <w:pStyle w:val="1040"/>
        <w:jc w:val="center"/>
        <w:rPr>
          <w:b/>
          <w:bCs/>
          <w:highlight w:val="white"/>
        </w:rPr>
      </w:pPr>
      <w:r>
        <w:rPr>
          <w:b/>
          <w:bCs/>
          <w:highlight w:val="white"/>
        </w:rPr>
      </w:r>
      <w:r>
        <w:rPr>
          <w:b/>
          <w:bCs/>
          <w:highlight w:val="white"/>
        </w:rPr>
      </w:r>
      <w:r>
        <w:rPr>
          <w:b/>
          <w:bCs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none"/>
        </w:rPr>
        <w:t xml:space="preserve">44.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 Министерством и органами государственного финансового контроля осуществляется обязательная проверка соблюдения Организации порядка и усл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овий предоставления Субсидии, в том числе в части достижения результатов предоставления Субсидии, также органами государственного финансового контроля осуществляется проверка в соответствии со статьями 268.1 и 269.2 Бюджетного кодекса Российской Федерации.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none"/>
        </w:rPr>
        <w:t xml:space="preserve">45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. Мониторинг достижения результатов предоставления Субсидии проводится Министерством исходя из достижения значения показателей результатов предоставлен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ия Субсидии, определенных Соглашением, и событий, отражающих факт завершения соответствующего мероприятия по получению результата предоставления субсидии (контрольная точка), в порядке и по формам, установленным Министерством финансов Российской Федерации.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В целях проведения мониторинга Министерство ежегодно формирует и утверждает одновременно с заключ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ением Соглашения план мероприятий по достижению результатов предоставления субсидии (далее - План мероприятий), в порядке и по форме, установленными приказом Министерства финансов Российской Федерации от 27.04.2024 № 53н «Об утверждении Порядка проведения 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мониторинга достижения результатов предоставления субсидий, в том числе грантов в форме субсидий, юридическим лицам, в том числе бюджетным и автономным учреждениям, индивидуальным предпринимателям, физическим лицам - производителям товаров, работ, услуг». </w:t>
      </w:r>
      <w:r>
        <w:rPr>
          <w:highlight w:val="white"/>
        </w:rPr>
      </w:r>
      <w:r>
        <w:rPr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С 1 января 2025 года формирование Плана мероприятий осуществляется в системе «Электронный бюджет».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none"/>
        </w:rPr>
        <w:t xml:space="preserve">46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. В случае нарушения Организацией условий, установленных при предоставлении Субсидии, выявленного в том числе по фактам проверок, проведенных Министерством и органами государственного финансового контроля, а также в случае 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недостижения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 значения результата предоставления 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Субсидии, установленного в соглашении, Министерство в течение 15 рабочих дней со дня подписания документа, подтверждающего выявле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ние факта данного нарушения, направляет Организации требование о возврате полученной субсидии (части Субсидии). Субсидия (часть Субсидии) подлежат возврату в областной бюджет в течение 10 рабочих дней со дня направления Министерством указанного требования.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none"/>
        </w:rPr>
        <w:t xml:space="preserve">47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. Требования Министерства о возврате Субсидии при обнаружении обстоятельств, предусмотренных пунктом 46 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настоящего Порядка, направляются заказными письмами через федеральный орган почтовой связи, иную организацию, осуществляющую отправку корреспонденции в течение 5 рабочих дней со дня обнаружения указанных обстоятельств с уведомлением о вручении Организации.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none"/>
        </w:rPr>
        <w:t xml:space="preserve">48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  <w:t xml:space="preserve">. В случае отказа от добровольного возврата Субсидии взыскание денежных средств осуществляется в соответствии с законодательством Российской Федерации.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highlight w:val="white"/>
        </w:rPr>
      </w:r>
    </w:p>
    <w:p>
      <w:pPr>
        <w:pStyle w:val="1040"/>
        <w:jc w:val="center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1040"/>
        <w:ind w:left="5811"/>
        <w:jc w:val="center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1040"/>
        <w:ind w:left="5811"/>
        <w:jc w:val="center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1040"/>
        <w:ind w:left="5811"/>
        <w:jc w:val="center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1040"/>
        <w:ind w:left="5811"/>
        <w:jc w:val="center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1040"/>
        <w:ind w:left="5811"/>
        <w:jc w:val="center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1040"/>
        <w:ind w:left="5811"/>
        <w:jc w:val="center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1040"/>
        <w:ind w:left="5811"/>
        <w:jc w:val="center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1040"/>
        <w:ind w:left="5811"/>
        <w:jc w:val="center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1040"/>
        <w:ind w:left="5811"/>
        <w:jc w:val="center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1040"/>
        <w:ind w:left="5811"/>
        <w:jc w:val="center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1040"/>
        <w:ind w:left="5811"/>
        <w:jc w:val="center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1040"/>
        <w:ind w:left="5811"/>
        <w:jc w:val="center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1040"/>
        <w:ind w:left="5811"/>
        <w:jc w:val="center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1040"/>
        <w:ind w:left="5811"/>
        <w:jc w:val="center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1040"/>
        <w:ind w:left="5811"/>
        <w:jc w:val="center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1040"/>
        <w:ind w:left="5811"/>
        <w:jc w:val="center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1040"/>
        <w:ind w:left="5811"/>
        <w:jc w:val="center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1040"/>
        <w:ind w:left="5811"/>
        <w:jc w:val="center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1040"/>
        <w:ind w:left="5811"/>
        <w:jc w:val="center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 xml:space="preserve">ПРИЛОЖЕНИЕ</w:t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1040"/>
        <w:ind w:left="5811"/>
        <w:jc w:val="center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 xml:space="preserve">к Порядку определения объема и условия предоставления субсидии из областного бюджета Новосибирской области на проведение капитального ремонта общего имущества в многоквартирных домах, расположенных на территории 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Новосибирской области</w:t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1040"/>
        <w:ind w:left="5811"/>
        <w:jc w:val="center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1040"/>
        <w:ind w:left="5811"/>
        <w:jc w:val="center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1040"/>
        <w:ind w:left="5811"/>
        <w:jc w:val="center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1040"/>
        <w:jc w:val="center"/>
        <w:rPr>
          <w:rFonts w:ascii="Times New Roman" w:hAnsi="Times New Roman" w:cs="Times New Roman"/>
          <w:b/>
          <w:bCs/>
          <w:sz w:val="28"/>
          <w:szCs w:val="28"/>
          <w:highlight w:val="white"/>
        </w:rPr>
      </w:pPr>
      <w:r>
        <w:rPr>
          <w:rFonts w:ascii="Times New Roman" w:hAnsi="Times New Roman" w:cs="Times New Roman"/>
          <w:b/>
          <w:bCs/>
          <w:sz w:val="28"/>
          <w:szCs w:val="28"/>
          <w:highlight w:val="white"/>
        </w:rPr>
        <w:t xml:space="preserve">Методика </w:t>
      </w:r>
      <w:r>
        <w:rPr>
          <w:rFonts w:ascii="Times New Roman" w:hAnsi="Times New Roman" w:cs="Times New Roman"/>
          <w:b/>
          <w:bCs/>
          <w:color w:val="000000"/>
          <w:spacing w:val="2"/>
          <w:sz w:val="28"/>
          <w:szCs w:val="28"/>
          <w:highlight w:val="white"/>
        </w:rPr>
        <w:t xml:space="preserve">расчета размера субсидии </w:t>
      </w:r>
      <w:r>
        <w:rPr>
          <w:rFonts w:ascii="Times New Roman" w:hAnsi="Times New Roman" w:cs="Times New Roman"/>
          <w:b/>
          <w:sz w:val="28"/>
          <w:szCs w:val="28"/>
          <w:highlight w:val="white"/>
        </w:rPr>
        <w:t xml:space="preserve">из областного бюджета Новосибирской области на проведение капитального ремонта общего имущества в многоквартирных домах, расположенных на территории Новосибирской области</w:t>
      </w:r>
      <w:r>
        <w:rPr>
          <w:rFonts w:ascii="Times New Roman" w:hAnsi="Times New Roman" w:cs="Times New Roman"/>
          <w:b/>
          <w:bCs/>
          <w:sz w:val="28"/>
          <w:szCs w:val="28"/>
          <w:highlight w:val="whit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white"/>
        </w:rPr>
      </w:r>
    </w:p>
    <w:p>
      <w:pPr>
        <w:pStyle w:val="1040"/>
        <w:jc w:val="center"/>
        <w:rPr>
          <w:rFonts w:ascii="Times New Roman" w:hAnsi="Times New Roman" w:cs="Times New Roman"/>
          <w:b/>
          <w:bCs/>
          <w:sz w:val="28"/>
          <w:szCs w:val="28"/>
          <w:highlight w:val="white"/>
        </w:rPr>
      </w:pPr>
      <w:r>
        <w:rPr>
          <w:rFonts w:ascii="Times New Roman" w:hAnsi="Times New Roman" w:cs="Times New Roman"/>
          <w:b/>
          <w:bCs/>
          <w:sz w:val="28"/>
          <w:szCs w:val="28"/>
          <w:highlight w:val="whit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whit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z w:val="28"/>
          <w:highlight w:val="white"/>
        </w:rPr>
      </w:pPr>
      <w:r>
        <w:rPr>
          <w:rFonts w:ascii="Times New Roman" w:hAnsi="Times New Roman" w:cs="Times New Roman"/>
          <w:sz w:val="28"/>
          <w:highlight w:val="white"/>
        </w:rPr>
        <w:t xml:space="preserve">Размер субсидии на проведение работ по ремонту или замене лифтового оборудования, признанного непригодным для эксплуатации, ремонту лифтовых шахт рассчитывается по формуле:</w:t>
      </w:r>
      <w:r>
        <w:rPr>
          <w:rFonts w:ascii="Times New Roman" w:hAnsi="Times New Roman" w:cs="Times New Roman"/>
          <w:sz w:val="28"/>
          <w:highlight w:val="white"/>
        </w:rPr>
      </w:r>
      <w:r>
        <w:rPr>
          <w:rFonts w:ascii="Times New Roman" w:hAnsi="Times New Roman" w:cs="Times New Roman"/>
          <w:sz w:val="28"/>
          <w:highlight w:val="white"/>
        </w:rPr>
      </w:r>
    </w:p>
    <w:p>
      <w:pPr>
        <w:pStyle w:val="1040"/>
        <w:jc w:val="center"/>
        <w:rPr>
          <w:rFonts w:ascii="Times New Roman" w:hAnsi="Times New Roman" w:cs="Times New Roman"/>
          <w:color w:val="ff0000"/>
          <w:sz w:val="28"/>
          <w:highlight w:val="white"/>
        </w:rPr>
      </w:pPr>
      <w:r>
        <w:rPr>
          <w:rFonts w:ascii="Times New Roman" w:hAnsi="Times New Roman" w:cs="Times New Roman"/>
          <w:sz w:val="44"/>
          <w:szCs w:val="32"/>
          <w:highlight w:val="white"/>
          <w:lang w:val="en-US"/>
        </w:rPr>
        <w:t xml:space="preserve">S</w:t>
      </w:r>
      <m:oMath>
        <m:r>
          <w:rPr>
            <w:rFonts w:ascii="Cambria Math" w:hAnsi="Cambria Math" w:cs="Times New Roman"/>
            <w:sz w:val="36"/>
            <w:szCs w:val="24"/>
            <w:highlight w:val="white"/>
          </w:rPr>
          <m:rPr>
            <m:sty m:val="p"/>
          </m:rPr>
          <m:t>=</m:t>
        </m:r>
        <m:nary>
          <m:naryPr>
            <m:chr m:val="∑"/>
            <m:grow m:val="off"/>
            <m:limLoc m:val="subSup"/>
            <m:supHide m:val="on"/>
            <m:ctrlPr>
              <w:rPr>
                <w:rFonts w:ascii="Cambria Math" w:hAnsi="Cambria Math" w:eastAsia="Cambria Math" w:cs="Cambria Math"/>
                <w:sz w:val="36"/>
                <w:highlight w:val="white"/>
              </w:rPr>
            </m:ctrlPr>
          </m:naryPr>
          <m:sub>
            <m:r>
              <w:rPr>
                <w:rFonts w:ascii="Cambria Math" w:hAnsi="Cambria Math" w:cs="Times New Roman"/>
                <w:sz w:val="36"/>
                <w:szCs w:val="24"/>
                <w:highlight w:val="white"/>
              </w:rPr>
              <m:rPr>
                <m:sty m:val="p"/>
              </m:rPr>
              <m:t>i=</m:t>
            </m:r>
            <m:sSup>
              <m:sSupPr>
                <m:ctrlPr>
                  <w:rPr>
                    <w:rFonts w:ascii="Cambria Math" w:hAnsi="Cambria Math" w:eastAsia="Cambria Math" w:cs="Cambria Math"/>
                    <w:sz w:val="36"/>
                    <w:highlight w:val="white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36"/>
                    <w:szCs w:val="24"/>
                    <w:highlight w:val="white"/>
                  </w:rPr>
                  <m:rPr>
                    <m:sty m:val="p"/>
                  </m:rPr>
                  <m:t>1</m:t>
                </m:r>
              </m:e>
              <m:sup>
                <m:r>
                  <w:rPr>
                    <w:rFonts w:ascii="Cambria Math" w:hAnsi="Cambria Math" w:cs="Times New Roman"/>
                    <w:sz w:val="36"/>
                    <w:szCs w:val="24"/>
                    <w:highlight w:val="white"/>
                  </w:rPr>
                  <m:rPr>
                    <m:sty m:val="p"/>
                  </m:rPr>
                  <m:t>n</m:t>
                </m:r>
              </m:sup>
            </m:sSup>
          </m:sub>
          <m:sup/>
          <m:e>
            <m:f>
              <m:fPr>
                <m:ctrlPr>
                  <w:rPr>
                    <w:rFonts w:ascii="Cambria Math" w:hAnsi="Cambria Math" w:eastAsia="Cambria Math" w:cs="Cambria Math"/>
                    <w:sz w:val="36"/>
                    <w:highlight w:val="white"/>
                  </w:rPr>
                </m:ctrlPr>
              </m:fPr>
              <m:num>
                <m:sSub>
                  <m:sSubPr>
                    <m:ctrlPr>
                      <w:rPr>
                        <w:rFonts w:ascii="Cambria Math" w:hAnsi="Cambria Math" w:eastAsia="Cambria Math" w:cs="Cambria Math"/>
                        <w:sz w:val="36"/>
                        <w:highlight w:val="white"/>
                      </w:rPr>
                    </m:ctrlPr>
                  </m:sSubPr>
                  <m:e>
                    <m:r>
                      <w:rPr>
                        <w:rFonts w:ascii="Cambria Math" w:hAnsi="Cambria Math" w:cs="Times New Roman"/>
                        <w:sz w:val="36"/>
                        <w:szCs w:val="24"/>
                        <w:highlight w:val="white"/>
                      </w:rPr>
                      <m:rPr>
                        <m:sty m:val="p"/>
                      </m:rPr>
                      <m:t>A</m:t>
                    </m:r>
                  </m:e>
                  <m:sub>
                    <m:r>
                      <w:rPr>
                        <w:rFonts w:ascii="Cambria Math" w:hAnsi="Cambria Math" w:cs="Times New Roman"/>
                        <w:sz w:val="36"/>
                        <w:szCs w:val="24"/>
                        <w:highlight w:val="white"/>
                      </w:rPr>
                      <m:rPr>
                        <m:sty m:val="p"/>
                      </m:rPr>
                      <m:t>i</m:t>
                    </m:r>
                  </m:sub>
                </m:sSub>
                <m:r>
                  <w:rPr>
                    <w:rFonts w:ascii="Cambria Math" w:hAnsi="Cambria Math" w:cs="Times New Roman"/>
                    <w:sz w:val="36"/>
                    <w:szCs w:val="24"/>
                    <w:highlight w:val="white"/>
                  </w:rPr>
                  <m:rPr>
                    <m:sty m:val="p"/>
                  </m:rPr>
                  <m:t>×B</m:t>
                </m:r>
              </m:num>
              <m:den>
                <m:r>
                  <w:rPr>
                    <w:rFonts w:ascii="Cambria Math" w:hAnsi="Cambria Math" w:cs="Times New Roman"/>
                    <w:sz w:val="36"/>
                    <w:szCs w:val="24"/>
                    <w:highlight w:val="white"/>
                  </w:rPr>
                  <m:rPr>
                    <m:sty m:val="p"/>
                  </m:rPr>
                  <m:t>100%</m:t>
                </m:r>
              </m:den>
            </m:f>
          </m:e>
        </m:nary>
      </m:oMath>
      <w:r>
        <w:rPr>
          <w:rFonts w:ascii="Times New Roman" w:hAnsi="Times New Roman" w:cs="Times New Roman"/>
          <w:sz w:val="32"/>
          <w:highlight w:val="white"/>
        </w:rPr>
        <w:t xml:space="preserve">,</w:t>
      </w:r>
      <w:r>
        <w:rPr>
          <w:rFonts w:ascii="Times New Roman" w:hAnsi="Times New Roman" w:cs="Times New Roman"/>
          <w:color w:val="ff0000"/>
          <w:sz w:val="28"/>
          <w:highlight w:val="white"/>
        </w:rPr>
        <w:fldChar w:fldCharType="begin"/>
      </w:r>
      <w:r>
        <w:rPr>
          <w:rFonts w:ascii="Times New Roman" w:hAnsi="Times New Roman" w:cs="Times New Roman"/>
          <w:color w:val="ff0000"/>
          <w:sz w:val="28"/>
          <w:highlight w:val="white"/>
        </w:rPr>
        <w:instrText xml:space="preserve"> QUOTE  </w:instrText>
      </w:r>
      <w:r>
        <w:rPr>
          <w:rFonts w:ascii="Times New Roman" w:hAnsi="Times New Roman" w:cs="Times New Roman"/>
          <w:color w:val="ff0000"/>
          <w:sz w:val="28"/>
          <w:highlight w:val="white"/>
        </w:rPr>
        <w:fldChar w:fldCharType="end"/>
      </w:r>
      <w:r>
        <w:rPr>
          <w:rFonts w:ascii="Times New Roman" w:hAnsi="Times New Roman" w:cs="Times New Roman"/>
          <w:color w:val="ff0000"/>
          <w:sz w:val="28"/>
          <w:highlight w:val="white"/>
        </w:rPr>
      </w:r>
      <w:r>
        <w:rPr>
          <w:rFonts w:ascii="Times New Roman" w:hAnsi="Times New Roman" w:cs="Times New Roman"/>
          <w:color w:val="ff0000"/>
          <w:sz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color w:val="ff0000"/>
          <w:highlight w:val="white"/>
        </w:rPr>
      </w:pPr>
      <w:r>
        <w:rPr>
          <w:rFonts w:ascii="Times New Roman" w:hAnsi="Times New Roman" w:cs="Times New Roman"/>
          <w:sz w:val="28"/>
          <w:highlight w:val="white"/>
        </w:rPr>
        <w:t xml:space="preserve">где:</w:t>
      </w:r>
      <w:r>
        <w:rPr>
          <w:rFonts w:ascii="Times New Roman" w:hAnsi="Times New Roman" w:cs="Times New Roman"/>
          <w:color w:val="ff0000"/>
          <w:highlight w:val="white"/>
        </w:rPr>
      </w:r>
      <w:r>
        <w:rPr>
          <w:rFonts w:ascii="Times New Roman" w:hAnsi="Times New Roman" w:cs="Times New Roman"/>
          <w:color w:val="ff0000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z w:val="28"/>
          <w:highlight w:val="white"/>
        </w:rPr>
      </w:pPr>
      <w:r>
        <w:rPr>
          <w:rFonts w:ascii="Times New Roman" w:hAnsi="Times New Roman" w:cs="Times New Roman"/>
          <w:sz w:val="28"/>
          <w:highlight w:val="white"/>
          <w:lang w:val="en-US"/>
        </w:rPr>
        <w:t xml:space="preserve">S</w:t>
      </w:r>
      <w:r>
        <w:rPr>
          <w:rFonts w:ascii="Times New Roman" w:hAnsi="Times New Roman" w:cs="Times New Roman"/>
          <w:sz w:val="28"/>
          <w:highlight w:val="white"/>
        </w:rPr>
        <w:t xml:space="preserve"> – размер Субсидии на проведение работ по ремонту или замене лифтового оборудования, признанного непригодным для эксплуатации, ремонту лифтовых шахт;</w:t>
      </w:r>
      <w:r>
        <w:rPr>
          <w:rFonts w:ascii="Times New Roman" w:hAnsi="Times New Roman" w:cs="Times New Roman"/>
          <w:sz w:val="28"/>
          <w:highlight w:val="white"/>
        </w:rPr>
      </w:r>
      <w:r>
        <w:rPr>
          <w:rFonts w:ascii="Times New Roman" w:hAnsi="Times New Roman" w:cs="Times New Roman"/>
          <w:sz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highlight w:val="white"/>
          <w:lang w:val="en-US"/>
        </w:rPr>
        <w:t xml:space="preserve">n</w:t>
      </w:r>
      <w:r>
        <w:rPr>
          <w:rFonts w:ascii="Times New Roman" w:hAnsi="Times New Roman" w:cs="Times New Roman"/>
          <w:sz w:val="28"/>
          <w:highlight w:val="white"/>
        </w:rPr>
        <w:t xml:space="preserve"> – количество многоквартирных домов, в которых планируется проведение работ по ремонту или замене лифтового оборудования, признанного непригодным для эксплуатации, ремонту лифтовых шахт;</w:t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z w:val="28"/>
          <w:highlight w:val="white"/>
        </w:rPr>
      </w:pPr>
      <w:r>
        <w:rPr>
          <w:rFonts w:ascii="Times New Roman" w:hAnsi="Times New Roman" w:cs="Times New Roman"/>
          <w:sz w:val="28"/>
          <w:highlight w:val="white"/>
        </w:rPr>
        <w:t xml:space="preserve">A</w:t>
      </w:r>
      <w:r>
        <w:rPr>
          <w:rFonts w:ascii="Times New Roman" w:hAnsi="Times New Roman" w:cs="Times New Roman"/>
          <w:sz w:val="28"/>
          <w:highlight w:val="white"/>
          <w:vertAlign w:val="subscript"/>
          <w:lang w:val="en-US"/>
        </w:rPr>
        <w:t xml:space="preserve">i</w:t>
      </w:r>
      <w:r>
        <w:rPr>
          <w:rFonts w:ascii="Times New Roman" w:hAnsi="Times New Roman" w:cs="Times New Roman"/>
          <w:sz w:val="28"/>
          <w:highlight w:val="white"/>
        </w:rPr>
        <w:t xml:space="preserve"> </w:t>
      </w:r>
      <w:r>
        <w:rPr>
          <w:rFonts w:ascii="Times New Roman" w:hAnsi="Times New Roman" w:cs="Times New Roman"/>
          <w:sz w:val="28"/>
          <w:szCs w:val="22"/>
          <w:highlight w:val="white"/>
        </w:rPr>
        <w:t xml:space="preserve">– </w:t>
      </w:r>
      <w:r>
        <w:rPr>
          <w:rFonts w:ascii="Times New Roman" w:hAnsi="Times New Roman" w:cs="Times New Roman"/>
          <w:sz w:val="28"/>
          <w:highlight w:val="white"/>
        </w:rPr>
        <w:t xml:space="preserve">стоимость лифтового оборудования, признанного непригодным для эксплуатации i-</w:t>
      </w:r>
      <w:r>
        <w:rPr>
          <w:rFonts w:ascii="Times New Roman" w:hAnsi="Times New Roman" w:cs="Times New Roman"/>
          <w:sz w:val="28"/>
          <w:highlight w:val="white"/>
        </w:rPr>
        <w:t xml:space="preserve">го</w:t>
      </w:r>
      <w:r>
        <w:rPr>
          <w:rFonts w:ascii="Times New Roman" w:hAnsi="Times New Roman" w:cs="Times New Roman"/>
          <w:sz w:val="28"/>
          <w:highlight w:val="white"/>
        </w:rPr>
        <w:t xml:space="preserve"> многоквартирного дома, руб.;</w:t>
      </w:r>
      <w:r>
        <w:rPr>
          <w:rFonts w:ascii="Times New Roman" w:hAnsi="Times New Roman" w:cs="Times New Roman"/>
          <w:sz w:val="28"/>
          <w:highlight w:val="white"/>
        </w:rPr>
      </w:r>
      <w:r>
        <w:rPr>
          <w:rFonts w:ascii="Times New Roman" w:hAnsi="Times New Roman" w:cs="Times New Roman"/>
          <w:sz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highlight w:val="white"/>
        </w:rPr>
        <w:t xml:space="preserve">B </w:t>
      </w:r>
      <w:r>
        <w:rPr>
          <w:rFonts w:ascii="Times New Roman" w:hAnsi="Times New Roman" w:cs="Times New Roman"/>
          <w:sz w:val="28"/>
          <w:szCs w:val="22"/>
          <w:highlight w:val="white"/>
        </w:rPr>
        <w:t xml:space="preserve">– </w:t>
      </w:r>
      <w:r>
        <w:rPr>
          <w:rFonts w:ascii="Times New Roman" w:hAnsi="Times New Roman" w:cs="Times New Roman"/>
          <w:sz w:val="28"/>
          <w:highlight w:val="white"/>
        </w:rPr>
        <w:t xml:space="preserve">доля Субсидии на ремонт или замену лифтового оборудования, признанного непригодным для эксплуатации, ремонт лифтовых шахт, которая составляет 25%.</w:t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1040"/>
        <w:jc w:val="center"/>
        <w:rPr>
          <w:rFonts w:ascii="Times New Roman" w:hAnsi="Times New Roman" w:cs="Times New Roman"/>
          <w:b/>
          <w:bCs/>
          <w:sz w:val="28"/>
          <w:szCs w:val="28"/>
          <w:highlight w:val="white"/>
        </w:rPr>
      </w:pPr>
      <w:r>
        <w:rPr>
          <w:rFonts w:ascii="Times New Roman" w:hAnsi="Times New Roman" w:cs="Times New Roman"/>
          <w:b/>
          <w:bCs/>
          <w:sz w:val="28"/>
          <w:szCs w:val="28"/>
          <w:highlight w:val="white"/>
        </w:rPr>
        <w:t xml:space="preserve">_________»</w:t>
      </w:r>
      <w:r>
        <w:rPr>
          <w:rFonts w:ascii="Times New Roman" w:hAnsi="Times New Roman" w:cs="Times New Roman"/>
          <w:b/>
          <w:bCs/>
          <w:sz w:val="28"/>
          <w:szCs w:val="28"/>
          <w:highlight w:val="whit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white"/>
        </w:rPr>
      </w:r>
    </w:p>
    <w:p>
      <w:pPr>
        <w:pStyle w:val="1040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1040"/>
        <w:jc w:val="center"/>
        <w:rPr>
          <w:rFonts w:ascii="Times New Roman" w:hAnsi="Times New Roman" w:cs="Times New Roman"/>
          <w:b/>
          <w:bCs/>
          <w:sz w:val="28"/>
          <w:szCs w:val="28"/>
          <w:highlight w:val="white"/>
        </w:rPr>
      </w:pPr>
      <w:r>
        <w:rPr>
          <w:rFonts w:ascii="Times New Roman" w:hAnsi="Times New Roman" w:cs="Times New Roman"/>
          <w:b/>
          <w:bCs/>
          <w:sz w:val="28"/>
          <w:szCs w:val="28"/>
          <w:highlight w:val="whit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whit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white"/>
        </w:rPr>
      </w:r>
    </w:p>
    <w:sectPr>
      <w:headerReference w:type="default" r:id="rId9"/>
      <w:footnotePr/>
      <w:endnotePr/>
      <w:type w:val="continuous"/>
      <w:pgSz w:w="11906" w:h="16838" w:orient="portrait"/>
      <w:pgMar w:top="1134" w:right="567" w:bottom="1134" w:left="1418" w:header="709" w:footer="709" w:gutter="0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10000000000000000"/>
  </w:font>
  <w:font w:name="Wingdings">
    <w:panose1 w:val="05010000000000000000"/>
  </w:font>
  <w:font w:name="Courier New">
    <w:panose1 w:val="02070309020205020404"/>
  </w:font>
  <w:font w:name="Tahoma">
    <w:panose1 w:val="020B0604030504040204"/>
  </w:font>
  <w:font w:name="Consolas">
    <w:panose1 w:val="020B0606020202030204"/>
  </w:font>
  <w:font w:name="Arial">
    <w:panose1 w:val="020B0604020202020204"/>
  </w:font>
  <w:font w:name="Cambria Math">
    <w:panose1 w:val="02000603000000000000"/>
  </w:font>
  <w:font w:name="Calibri Light">
    <w:panose1 w:val="020F0502020204030204"/>
  </w:font>
  <w:font w:name="Times New Roman">
    <w:panose1 w:val="020206030504050203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794"/>
      <w:jc w:val="center"/>
      <w:rPr>
        <w:rFonts w:ascii="Times New Roman" w:hAnsi="Times New Roman"/>
        <w:sz w:val="28"/>
        <w:szCs w:val="28"/>
      </w:rPr>
    </w:pPr>
    <w:r>
      <w:rPr>
        <w:rFonts w:ascii="Times New Roman" w:hAnsi="Times New Roman"/>
        <w:sz w:val="28"/>
        <w:szCs w:val="28"/>
      </w:rPr>
      <w:fldChar w:fldCharType="begin"/>
    </w:r>
    <w:r>
      <w:rPr>
        <w:rFonts w:ascii="Times New Roman" w:hAnsi="Times New Roman"/>
        <w:sz w:val="28"/>
        <w:szCs w:val="28"/>
      </w:rPr>
      <w:instrText xml:space="preserve">PAGE   \* MERGEFORMAT</w:instrText>
    </w:r>
    <w:r>
      <w:rPr>
        <w:rFonts w:ascii="Times New Roman" w:hAnsi="Times New Roman"/>
        <w:sz w:val="28"/>
        <w:szCs w:val="28"/>
      </w:rPr>
      <w:fldChar w:fldCharType="separate"/>
    </w:r>
    <w:r>
      <w:rPr>
        <w:rFonts w:ascii="Times New Roman" w:hAnsi="Times New Roman"/>
        <w:sz w:val="28"/>
        <w:szCs w:val="28"/>
        <w:lang w:val="ru-RU"/>
      </w:rPr>
      <w:t xml:space="preserve">14</w:t>
    </w:r>
    <w:r>
      <w:rPr>
        <w:rFonts w:ascii="Times New Roman" w:hAnsi="Times New Roman"/>
        <w:sz w:val="28"/>
        <w:szCs w:val="28"/>
      </w:rPr>
      <w:fldChar w:fldCharType="end"/>
    </w:r>
    <w:r>
      <w:rPr>
        <w:rFonts w:ascii="Times New Roman" w:hAnsi="Times New Roman"/>
        <w:sz w:val="28"/>
        <w:szCs w:val="28"/>
      </w:rPr>
    </w:r>
    <w:r>
      <w:rPr>
        <w:rFonts w:ascii="Times New Roman" w:hAnsi="Times New Roman"/>
        <w:sz w:val="28"/>
        <w:szCs w:val="28"/>
      </w:rPr>
    </w:r>
  </w:p>
  <w:p>
    <w:pPr>
      <w:pStyle w:val="794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/>
      <w:rPr>
        <w:rFonts w:cs="Times New Roman"/>
      </w:rPr>
    </w:lvl>
    <w:lvl w:ilvl="1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2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3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4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5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6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7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8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/>
      <w:rPr>
        <w:rFonts w:cs="Times New Roman"/>
      </w:rPr>
    </w:lvl>
    <w:lvl w:ilvl="1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2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3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4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5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6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7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8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</w:abstractNum>
  <w:abstractNum w:abstractNumId="2">
    <w:multiLevelType w:val="hybridMultilevel"/>
    <w:lvl w:ilvl="0">
      <w:start w:val="1"/>
      <w:numFmt w:val="decimal"/>
      <w:isLgl w:val="false"/>
      <w:suff w:val="nothing"/>
      <w:lvlText w:val="."/>
      <w:lvlJc w:val="left"/>
      <w:pPr/>
      <w:rPr>
        <w:rFonts w:cs="Times New Roman"/>
      </w:rPr>
    </w:lvl>
    <w:lvl w:ilvl="1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2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3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4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5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6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7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8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/>
      <w:rPr>
        <w:rFonts w:cs="Times New Roman"/>
      </w:rPr>
    </w:lvl>
    <w:lvl w:ilvl="1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2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3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4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5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6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7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8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</w:abstractNum>
  <w:abstractNum w:abstractNumId="4">
    <w:multiLevelType w:val="hybridMultilevel"/>
    <w:lvl w:ilvl="0">
      <w:start w:val="1"/>
      <w:numFmt w:val="decimal"/>
      <w:isLgl w:val="false"/>
      <w:suff w:val="nothing"/>
      <w:lvlText w:val="."/>
      <w:lvlJc w:val="left"/>
      <w:pPr/>
      <w:rPr>
        <w:rFonts w:cs="Times New Roman"/>
      </w:rPr>
    </w:lvl>
    <w:lvl w:ilvl="1">
      <w:start w:val="1"/>
      <w:numFmt w:val="decimal"/>
      <w:isLgl w:val="false"/>
      <w:suff w:val="nothing"/>
      <w:lvlText w:val="."/>
      <w:lvlJc w:val="left"/>
      <w:pPr/>
      <w:rPr>
        <w:rFonts w:cs="Times New Roman"/>
      </w:rPr>
    </w:lvl>
    <w:lvl w:ilvl="2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3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4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5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6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7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8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</w:abstractNum>
  <w:abstractNum w:abstractNumId="5">
    <w:multiLevelType w:val="hybridMultilevel"/>
    <w:lvl w:ilvl="0">
      <w:start w:val="1"/>
      <w:numFmt w:val="decimal"/>
      <w:isLgl w:val="false"/>
      <w:suff w:val="tab"/>
      <w:lvlText w:val="%1."/>
      <w:lvlJc w:val="left"/>
      <w:pPr/>
      <w:rPr>
        <w:rFonts w:cs="Times New Roman"/>
      </w:rPr>
    </w:lvl>
    <w:lvl w:ilvl="1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2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3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4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5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6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7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8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</w:abstractNum>
  <w:abstractNum w:abstractNumId="6">
    <w:multiLevelType w:val="hybridMultilevel"/>
    <w:lvl w:ilvl="0">
      <w:start w:val="1"/>
      <w:numFmt w:val="decimal"/>
      <w:isLgl w:val="false"/>
      <w:suff w:val="nothing"/>
      <w:lvlText w:val="."/>
      <w:lvlJc w:val="left"/>
      <w:pPr/>
      <w:rPr>
        <w:rFonts w:cs="Times New Roman"/>
      </w:rPr>
    </w:lvl>
    <w:lvl w:ilvl="1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2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3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4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5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6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7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8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</w:abstractNum>
  <w:abstractNum w:abstractNumId="7">
    <w:multiLevelType w:val="hybridMultilevel"/>
    <w:lvl w:ilvl="0">
      <w:start w:val="1"/>
      <w:numFmt w:val="decimal"/>
      <w:isLgl w:val="false"/>
      <w:suff w:val="nothing"/>
      <w:lvlText w:val="."/>
      <w:lvlJc w:val="left"/>
      <w:pPr/>
      <w:rPr>
        <w:rFonts w:cs="Times New Roman"/>
      </w:rPr>
    </w:lvl>
    <w:lvl w:ilvl="1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2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3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4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5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6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7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8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</w:abstractNum>
  <w:abstractNum w:abstractNumId="8">
    <w:multiLevelType w:val="hybridMultilevel"/>
    <w:lvl w:ilvl="0">
      <w:start w:val="1"/>
      <w:numFmt w:val="decimal"/>
      <w:isLgl w:val="false"/>
      <w:suff w:val="tab"/>
      <w:lvlText w:val="%1."/>
      <w:lvlJc w:val="left"/>
      <w:pPr/>
      <w:rPr>
        <w:rFonts w:cs="Times New Roman"/>
      </w:rPr>
    </w:lvl>
    <w:lvl w:ilvl="1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2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3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4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5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6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7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8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</w:abstractNum>
  <w:abstractNum w:abstractNumId="9">
    <w:multiLevelType w:val="hybridMultilevel"/>
    <w:lvl w:ilvl="0">
      <w:start w:val="1"/>
      <w:numFmt w:val="decimal"/>
      <w:isLgl w:val="false"/>
      <w:suff w:val="tab"/>
      <w:lvlText w:val="%1."/>
      <w:lvlJc w:val="left"/>
      <w:pPr/>
      <w:rPr>
        <w:rFonts w:cs="Times New Roman"/>
      </w:rPr>
    </w:lvl>
    <w:lvl w:ilvl="1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2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3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4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5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6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7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8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</w:abstractNum>
  <w:abstractNum w:abstractNumId="10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6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1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2">
    <w:multiLevelType w:val="hybridMultilevel"/>
    <w:lvl w:ilvl="0">
      <w:start w:val="1"/>
      <w:numFmt w:val="decimal"/>
      <w:isLgl w:val="false"/>
      <w:suff w:val="tab"/>
      <w:lvlText w:val="%1."/>
      <w:lvlJc w:val="left"/>
      <w:pPr/>
      <w:rPr>
        <w:rFonts w:cs="Times New Roman"/>
      </w:rPr>
    </w:lvl>
    <w:lvl w:ilvl="1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2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3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4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5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6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7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8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</w:abstractNum>
  <w:abstractNum w:abstractNumId="13">
    <w:multiLevelType w:val="hybridMultilevel"/>
    <w:lvl w:ilvl="0">
      <w:start w:val="1"/>
      <w:numFmt w:val="decimal"/>
      <w:isLgl w:val="false"/>
      <w:suff w:val="nothing"/>
      <w:lvlText w:val="."/>
      <w:lvlJc w:val="left"/>
      <w:pPr/>
      <w:rPr>
        <w:rFonts w:cs="Times New Roman"/>
      </w:rPr>
    </w:lvl>
    <w:lvl w:ilvl="1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2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3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4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5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6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7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8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</w:abstractNum>
  <w:abstractNum w:abstractNumId="14">
    <w:multiLevelType w:val="hybridMultilevel"/>
    <w:lvl w:ilvl="0">
      <w:start w:val="1"/>
      <w:numFmt w:val="decimal"/>
      <w:isLgl w:val="false"/>
      <w:suff w:val="nothing"/>
      <w:lvlText w:val="."/>
      <w:lvlJc w:val="left"/>
      <w:pPr/>
      <w:rPr>
        <w:rFonts w:cs="Times New Roman"/>
      </w:rPr>
    </w:lvl>
    <w:lvl w:ilvl="1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2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3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4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5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6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7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8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</w:abstractNum>
  <w:abstractNum w:abstractNumId="15">
    <w:multiLevelType w:val="hybridMultilevel"/>
    <w:lvl w:ilvl="0">
      <w:start w:val="1"/>
      <w:numFmt w:val="decimal"/>
      <w:isLgl w:val="false"/>
      <w:suff w:val="tab"/>
      <w:lvlText w:val="%1."/>
      <w:lvlJc w:val="left"/>
      <w:pPr/>
      <w:rPr>
        <w:rFonts w:cs="Times New Roman"/>
      </w:rPr>
    </w:lvl>
    <w:lvl w:ilvl="1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2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3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4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5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6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7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8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</w:abstractNum>
  <w:abstractNum w:abstractNumId="16">
    <w:multiLevelType w:val="hybridMultilevel"/>
    <w:lvl w:ilvl="0">
      <w:start w:val="1"/>
      <w:numFmt w:val="decimal"/>
      <w:isLgl w:val="false"/>
      <w:suff w:val="nothing"/>
      <w:lvlText w:val="."/>
      <w:lvlJc w:val="left"/>
      <w:pPr/>
      <w:rPr>
        <w:rFonts w:cs="Times New Roman"/>
      </w:rPr>
    </w:lvl>
    <w:lvl w:ilvl="1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2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3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4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5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6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7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8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</w:abstractNum>
  <w:abstractNum w:abstractNumId="17">
    <w:multiLevelType w:val="hybridMultilevel"/>
    <w:lvl w:ilvl="0">
      <w:start w:val="1"/>
      <w:numFmt w:val="decimal"/>
      <w:isLgl w:val="false"/>
      <w:suff w:val="tab"/>
      <w:lvlText w:val="%1."/>
      <w:lvlJc w:val="left"/>
      <w:pPr/>
      <w:rPr>
        <w:rFonts w:cs="Times New Roman"/>
      </w:rPr>
    </w:lvl>
    <w:lvl w:ilvl="1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2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3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4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5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6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7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8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</w:abstractNum>
  <w:abstractNum w:abstractNumId="18">
    <w:multiLevelType w:val="hybridMultilevel"/>
    <w:lvl w:ilvl="0">
      <w:start w:val="1"/>
      <w:numFmt w:val="decimal"/>
      <w:isLgl w:val="false"/>
      <w:suff w:val="tab"/>
      <w:lvlText w:val="%1."/>
      <w:lvlJc w:val="left"/>
      <w:pPr/>
      <w:rPr>
        <w:rFonts w:cs="Times New Roman"/>
      </w:rPr>
    </w:lvl>
    <w:lvl w:ilvl="1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2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3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4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5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6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7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8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</w:abstractNum>
  <w:abstractNum w:abstractNumId="19">
    <w:multiLevelType w:val="hybridMultilevel"/>
    <w:lvl w:ilvl="0">
      <w:start w:val="1"/>
      <w:numFmt w:val="decimal"/>
      <w:isLgl w:val="false"/>
      <w:suff w:val="tab"/>
      <w:lvlText w:val="%1."/>
      <w:lvlJc w:val="left"/>
      <w:pPr/>
      <w:rPr>
        <w:rFonts w:cs="Times New Roman"/>
      </w:rPr>
    </w:lvl>
    <w:lvl w:ilvl="1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2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3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4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5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6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7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8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</w:abstractNum>
  <w:abstractNum w:abstractNumId="20">
    <w:multiLevelType w:val="hybridMultilevel"/>
    <w:lvl w:ilvl="0">
      <w:start w:val="1"/>
      <w:numFmt w:val="decimal"/>
      <w:isLgl w:val="false"/>
      <w:suff w:val="tab"/>
      <w:lvlText w:val="%1."/>
      <w:lvlJc w:val="left"/>
      <w:pPr/>
      <w:rPr>
        <w:rFonts w:cs="Times New Roman"/>
      </w:rPr>
    </w:lvl>
    <w:lvl w:ilvl="1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2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3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4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5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6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7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8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</w:abstractNum>
  <w:abstractNum w:abstractNumId="21">
    <w:multiLevelType w:val="hybridMultilevel"/>
    <w:lvl w:ilvl="0">
      <w:start w:val="1"/>
      <w:numFmt w:val="decimal"/>
      <w:isLgl w:val="false"/>
      <w:suff w:val="nothing"/>
      <w:lvlText w:val="."/>
      <w:lvlJc w:val="left"/>
      <w:pPr/>
      <w:rPr>
        <w:rFonts w:cs="Times New Roman"/>
      </w:rPr>
    </w:lvl>
    <w:lvl w:ilvl="1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2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3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4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5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6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7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8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</w:abstractNum>
  <w:abstractNum w:abstractNumId="22">
    <w:multiLevelType w:val="hybridMultilevel"/>
    <w:lvl w:ilvl="0">
      <w:start w:val="1"/>
      <w:numFmt w:val="decimal"/>
      <w:isLgl w:val="false"/>
      <w:suff w:val="nothing"/>
      <w:lvlText w:val="."/>
      <w:lvlJc w:val="left"/>
      <w:pPr/>
      <w:rPr>
        <w:rFonts w:cs="Times New Roman"/>
      </w:rPr>
    </w:lvl>
    <w:lvl w:ilvl="1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2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3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4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5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6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7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8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</w:abstractNum>
  <w:abstractNum w:abstractNumId="23">
    <w:multiLevelType w:val="hybridMultilevel"/>
    <w:lvl w:ilvl="0">
      <w:start w:val="1"/>
      <w:numFmt w:val="decimal"/>
      <w:isLgl w:val="false"/>
      <w:suff w:val="tab"/>
      <w:lvlText w:val="%1."/>
      <w:lvlJc w:val="left"/>
      <w:pPr/>
      <w:rPr>
        <w:rFonts w:cs="Times New Roman"/>
      </w:rPr>
    </w:lvl>
    <w:lvl w:ilvl="1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2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3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4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5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6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7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8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</w:abstractNum>
  <w:abstractNum w:abstractNumId="24">
    <w:multiLevelType w:val="hybridMultilevel"/>
    <w:lvl w:ilvl="0">
      <w:start w:val="1"/>
      <w:numFmt w:val="decimal"/>
      <w:isLgl w:val="false"/>
      <w:suff w:val="tab"/>
      <w:lvlText w:val="%1."/>
      <w:lvlJc w:val="left"/>
      <w:pPr/>
      <w:rPr>
        <w:rFonts w:cs="Times New Roman"/>
      </w:rPr>
    </w:lvl>
    <w:lvl w:ilvl="1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2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3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4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5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6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7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8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</w:abstractNum>
  <w:abstractNum w:abstractNumId="25">
    <w:multiLevelType w:val="hybridMultilevel"/>
    <w:lvl w:ilvl="0">
      <w:start w:val="1"/>
      <w:numFmt w:val="decimal"/>
      <w:isLgl w:val="false"/>
      <w:suff w:val="nothing"/>
      <w:lvlText w:val="."/>
      <w:lvlJc w:val="left"/>
      <w:pPr/>
      <w:rPr>
        <w:rFonts w:cs="Times New Roman"/>
      </w:rPr>
    </w:lvl>
    <w:lvl w:ilvl="1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2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3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4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5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6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7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8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</w:abstractNum>
  <w:abstractNum w:abstractNumId="26">
    <w:multiLevelType w:val="hybridMultilevel"/>
    <w:lvl w:ilvl="0">
      <w:start w:val="1"/>
      <w:numFmt w:val="decimal"/>
      <w:isLgl w:val="false"/>
      <w:suff w:val="tab"/>
      <w:lvlText w:val="%1."/>
      <w:lvlJc w:val="left"/>
      <w:pPr/>
      <w:rPr>
        <w:rFonts w:cs="Times New Roman"/>
      </w:rPr>
    </w:lvl>
    <w:lvl w:ilvl="1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2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3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4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5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6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7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8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</w:abstractNum>
  <w:abstractNum w:abstractNumId="27">
    <w:multiLevelType w:val="hybridMultilevel"/>
    <w:lvl w:ilvl="0">
      <w:start w:val="1"/>
      <w:numFmt w:val="decimal"/>
      <w:isLgl w:val="false"/>
      <w:suff w:val="tab"/>
      <w:lvlText w:val="%1."/>
      <w:lvlJc w:val="left"/>
      <w:pPr/>
      <w:rPr>
        <w:rFonts w:cs="Times New Roman"/>
      </w:rPr>
    </w:lvl>
    <w:lvl w:ilvl="1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2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3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4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5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6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7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8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</w:abstractNum>
  <w:abstractNum w:abstractNumId="28">
    <w:multiLevelType w:val="hybridMultilevel"/>
    <w:lvl w:ilvl="0">
      <w:start w:val="1"/>
      <w:numFmt w:val="decimal"/>
      <w:isLgl w:val="false"/>
      <w:suff w:val="nothing"/>
      <w:lvlText w:val="."/>
      <w:lvlJc w:val="left"/>
      <w:pPr/>
      <w:rPr>
        <w:rFonts w:cs="Times New Roman"/>
      </w:rPr>
    </w:lvl>
    <w:lvl w:ilvl="1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2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3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4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5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6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7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8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</w:abstractNum>
  <w:abstractNum w:abstractNumId="29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6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30">
    <w:multiLevelType w:val="hybridMultilevel"/>
    <w:lvl w:ilvl="0">
      <w:start w:val="1"/>
      <w:numFmt w:val="decimal"/>
      <w:isLgl w:val="false"/>
      <w:suff w:val="nothing"/>
      <w:lvlText w:val="."/>
      <w:lvlJc w:val="left"/>
      <w:pPr/>
      <w:rPr>
        <w:rFonts w:cs="Times New Roman"/>
      </w:rPr>
    </w:lvl>
    <w:lvl w:ilvl="1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2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3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4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5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6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7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8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</w:abstractNum>
  <w:abstractNum w:abstractNumId="31">
    <w:multiLevelType w:val="hybridMultilevel"/>
    <w:lvl w:ilvl="0">
      <w:start w:val="1"/>
      <w:numFmt w:val="decimal"/>
      <w:isLgl w:val="false"/>
      <w:suff w:val="tab"/>
      <w:lvlText w:val="%1."/>
      <w:lvlJc w:val="left"/>
      <w:pPr/>
      <w:rPr>
        <w:rFonts w:cs="Times New Roman"/>
      </w:rPr>
    </w:lvl>
    <w:lvl w:ilvl="1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2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3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4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5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6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7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8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</w:abstractNum>
  <w:abstractNum w:abstractNumId="32">
    <w:multiLevelType w:val="hybridMultilevel"/>
    <w:lvl w:ilvl="0">
      <w:start w:val="1"/>
      <w:numFmt w:val="bullet"/>
      <w:isLgl w:val="false"/>
      <w:suff w:val="tab"/>
      <w:lvlText w:val="-"/>
      <w:lvlJc w:val="left"/>
      <w:pPr>
        <w:ind w:left="785" w:hanging="360"/>
      </w:pPr>
      <w:rPr>
        <w:rFonts w:ascii="Times New Roman" w:hAnsi="Times New Roman" w:eastAsia="Times New Roman" w:cs="Times New Roman"/>
        <w:i/>
      </w:rPr>
    </w:lvl>
    <w:lvl w:ilvl="1">
      <w:start w:val="1"/>
      <w:numFmt w:val="bullet"/>
      <w:isLgl w:val="false"/>
      <w:suff w:val="tab"/>
      <w:lvlText w:val="o"/>
      <w:lvlJc w:val="left"/>
      <w:pPr>
        <w:ind w:left="1505" w:hanging="360"/>
      </w:pPr>
      <w:rPr>
        <w:rFonts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225" w:hanging="360"/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945" w:hanging="360"/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65" w:hanging="360"/>
      </w:pPr>
      <w:rPr>
        <w:rFonts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85" w:hanging="360"/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105" w:hanging="360"/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825" w:hanging="360"/>
      </w:pPr>
      <w:rPr>
        <w:rFonts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545" w:hanging="360"/>
      </w:pPr>
      <w:rPr>
        <w:rFonts w:ascii="Wingdings" w:hAnsi="Wingdings"/>
      </w:rPr>
    </w:lvl>
  </w:abstractNum>
  <w:abstractNum w:abstractNumId="33">
    <w:multiLevelType w:val="hybridMultilevel"/>
    <w:lvl w:ilvl="0">
      <w:start w:val="1"/>
      <w:numFmt w:val="decimal"/>
      <w:isLgl w:val="false"/>
      <w:suff w:val="tab"/>
      <w:lvlText w:val="%1."/>
      <w:lvlJc w:val="left"/>
      <w:pPr/>
      <w:rPr>
        <w:rFonts w:cs="Times New Roman"/>
      </w:rPr>
    </w:lvl>
    <w:lvl w:ilvl="1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2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3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4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5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6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7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8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</w:abstractNum>
  <w:abstractNum w:abstractNumId="34">
    <w:multiLevelType w:val="hybridMultilevel"/>
    <w:lvl w:ilvl="0">
      <w:start w:val="1"/>
      <w:numFmt w:val="decimal"/>
      <w:isLgl w:val="false"/>
      <w:suff w:val="tab"/>
      <w:lvlText w:val="%1."/>
      <w:lvlJc w:val="left"/>
      <w:pPr/>
      <w:rPr>
        <w:rFonts w:cs="Times New Roman"/>
      </w:rPr>
    </w:lvl>
    <w:lvl w:ilvl="1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2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3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4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5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6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7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8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</w:abstractNum>
  <w:num w:numId="1">
    <w:abstractNumId w:val="1"/>
  </w:num>
  <w:num w:numId="2">
    <w:abstractNumId w:val="19"/>
  </w:num>
  <w:num w:numId="3">
    <w:abstractNumId w:val="5"/>
  </w:num>
  <w:num w:numId="4">
    <w:abstractNumId w:val="2"/>
  </w:num>
  <w:num w:numId="5">
    <w:abstractNumId w:val="14"/>
  </w:num>
  <w:num w:numId="6">
    <w:abstractNumId w:val="30"/>
  </w:num>
  <w:num w:numId="7">
    <w:abstractNumId w:val="21"/>
  </w:num>
  <w:num w:numId="8">
    <w:abstractNumId w:val="6"/>
  </w:num>
  <w:num w:numId="9">
    <w:abstractNumId w:val="13"/>
  </w:num>
  <w:num w:numId="10">
    <w:abstractNumId w:val="16"/>
  </w:num>
  <w:num w:numId="11">
    <w:abstractNumId w:val="12"/>
  </w:num>
  <w:num w:numId="12">
    <w:abstractNumId w:val="22"/>
  </w:num>
  <w:num w:numId="13">
    <w:abstractNumId w:val="17"/>
  </w:num>
  <w:num w:numId="14">
    <w:abstractNumId w:val="26"/>
  </w:num>
  <w:num w:numId="15">
    <w:abstractNumId w:val="3"/>
  </w:num>
  <w:num w:numId="16">
    <w:abstractNumId w:val="15"/>
  </w:num>
  <w:num w:numId="17">
    <w:abstractNumId w:val="4"/>
  </w:num>
  <w:num w:numId="18">
    <w:abstractNumId w:val="25"/>
  </w:num>
  <w:num w:numId="19">
    <w:abstractNumId w:val="18"/>
  </w:num>
  <w:num w:numId="20">
    <w:abstractNumId w:val="24"/>
  </w:num>
  <w:num w:numId="21">
    <w:abstractNumId w:val="0"/>
  </w:num>
  <w:num w:numId="22">
    <w:abstractNumId w:val="7"/>
  </w:num>
  <w:num w:numId="23">
    <w:abstractNumId w:val="8"/>
  </w:num>
  <w:num w:numId="24">
    <w:abstractNumId w:val="23"/>
  </w:num>
  <w:num w:numId="25">
    <w:abstractNumId w:val="9"/>
  </w:num>
  <w:num w:numId="26">
    <w:abstractNumId w:val="28"/>
  </w:num>
  <w:num w:numId="27">
    <w:abstractNumId w:val="27"/>
  </w:num>
  <w:num w:numId="28">
    <w:abstractNumId w:val="33"/>
  </w:num>
  <w:num w:numId="29">
    <w:abstractNumId w:val="20"/>
  </w:num>
  <w:num w:numId="30">
    <w:abstractNumId w:val="31"/>
  </w:num>
  <w:num w:numId="31">
    <w:abstractNumId w:val="34"/>
  </w:num>
  <w:num w:numId="32">
    <w:abstractNumId w:val="27"/>
    <w:lvlOverride w:ilvl="0">
      <w:startOverride w:val="1"/>
    </w:lvlOverride>
  </w:num>
  <w:num w:numId="33">
    <w:abstractNumId w:val="33"/>
    <w:lvlOverride w:ilvl="0">
      <w:startOverride w:val="1"/>
    </w:lvlOverride>
  </w:num>
  <w:num w:numId="34">
    <w:abstractNumId w:val="20"/>
    <w:lvlOverride w:ilvl="0">
      <w:startOverride w:val="1"/>
    </w:lvlOverride>
  </w:num>
  <w:num w:numId="35">
    <w:abstractNumId w:val="31"/>
    <w:lvlOverride w:ilvl="0">
      <w:startOverride w:val="1"/>
    </w:lvlOverride>
  </w:num>
  <w:num w:numId="36">
    <w:abstractNumId w:val="34"/>
    <w:lvlOverride w:ilvl="0">
      <w:startOverride w:val="1"/>
    </w:lvlOverride>
  </w:num>
  <w:num w:numId="37">
    <w:abstractNumId w:val="32"/>
  </w:num>
  <w:num w:numId="38">
    <w:abstractNumId w:val="29"/>
  </w:num>
  <w:num w:numId="39">
    <w:abstractNumId w:val="11"/>
  </w:num>
  <w:num w:numId="4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balanceSingleByteDoubleByteWidth w:val="true"/>
    <w:ulTrailSpace w:val="true"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Calibri" w:hAnsi="Calibri" w:eastAsia="Times New Roman" w:cs="Times New Roman"/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749" w:default="1">
    <w:name w:val="Normal"/>
    <w:qFormat/>
    <w:pPr>
      <w:spacing w:after="200" w:line="276" w:lineRule="auto"/>
    </w:pPr>
    <w:rPr>
      <w:sz w:val="22"/>
      <w:szCs w:val="22"/>
      <w:lang w:eastAsia="ru-RU"/>
    </w:rPr>
  </w:style>
  <w:style w:type="paragraph" w:styleId="750">
    <w:name w:val="Heading 1"/>
    <w:basedOn w:val="749"/>
    <w:next w:val="749"/>
    <w:link w:val="1039"/>
    <w:uiPriority w:val="9"/>
    <w:qFormat/>
    <w:pPr>
      <w:keepNext/>
      <w:spacing w:before="240" w:after="60"/>
      <w:outlineLvl w:val="0"/>
    </w:pPr>
    <w:rPr>
      <w:rFonts w:ascii="Calibri Light" w:hAnsi="Calibri Light"/>
      <w:b/>
      <w:bCs/>
      <w:sz w:val="32"/>
      <w:szCs w:val="32"/>
    </w:rPr>
  </w:style>
  <w:style w:type="paragraph" w:styleId="751">
    <w:name w:val="Heading 2"/>
    <w:basedOn w:val="749"/>
    <w:next w:val="749"/>
    <w:link w:val="776"/>
    <w:uiPriority w:val="9"/>
    <w:unhideWhenUsed/>
    <w:qFormat/>
    <w:pPr>
      <w:keepLines/>
      <w:keepNext/>
      <w:spacing w:before="360"/>
      <w:outlineLvl w:val="1"/>
    </w:pPr>
    <w:rPr>
      <w:rFonts w:ascii="Arial" w:hAnsi="Arial" w:eastAsia="Arial" w:cs="Arial"/>
      <w:sz w:val="34"/>
    </w:rPr>
  </w:style>
  <w:style w:type="paragraph" w:styleId="752">
    <w:name w:val="Heading 3"/>
    <w:basedOn w:val="749"/>
    <w:next w:val="749"/>
    <w:link w:val="1030"/>
    <w:qFormat/>
    <w:pPr>
      <w:keepNext/>
      <w:spacing w:before="240" w:after="60" w:line="240" w:lineRule="auto"/>
      <w:outlineLvl w:val="2"/>
    </w:pPr>
    <w:rPr>
      <w:rFonts w:ascii="Arial" w:hAnsi="Arial"/>
      <w:b/>
      <w:bCs/>
      <w:sz w:val="26"/>
      <w:szCs w:val="26"/>
      <w:lang w:val="en-US" w:eastAsia="en-US"/>
    </w:rPr>
  </w:style>
  <w:style w:type="paragraph" w:styleId="753">
    <w:name w:val="Heading 4"/>
    <w:basedOn w:val="749"/>
    <w:next w:val="749"/>
    <w:link w:val="778"/>
    <w:uiPriority w:val="9"/>
    <w:unhideWhenUsed/>
    <w:qFormat/>
    <w:pPr>
      <w:keepLines/>
      <w:keepNext/>
      <w:spacing w:before="32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754">
    <w:name w:val="Heading 5"/>
    <w:basedOn w:val="749"/>
    <w:next w:val="749"/>
    <w:link w:val="779"/>
    <w:uiPriority w:val="9"/>
    <w:unhideWhenUsed/>
    <w:qFormat/>
    <w:pPr>
      <w:keepLines/>
      <w:keepNext/>
      <w:spacing w:before="32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755">
    <w:name w:val="Heading 6"/>
    <w:basedOn w:val="749"/>
    <w:next w:val="749"/>
    <w:link w:val="780"/>
    <w:uiPriority w:val="9"/>
    <w:unhideWhenUsed/>
    <w:qFormat/>
    <w:pPr>
      <w:keepLines/>
      <w:keepNext/>
      <w:spacing w:before="320"/>
      <w:outlineLvl w:val="5"/>
    </w:pPr>
    <w:rPr>
      <w:rFonts w:ascii="Arial" w:hAnsi="Arial" w:eastAsia="Arial" w:cs="Arial"/>
      <w:b/>
      <w:bCs/>
    </w:rPr>
  </w:style>
  <w:style w:type="paragraph" w:styleId="756">
    <w:name w:val="Heading 7"/>
    <w:basedOn w:val="749"/>
    <w:next w:val="749"/>
    <w:link w:val="781"/>
    <w:uiPriority w:val="9"/>
    <w:unhideWhenUsed/>
    <w:qFormat/>
    <w:pPr>
      <w:keepLines/>
      <w:keepNext/>
      <w:spacing w:before="320"/>
      <w:outlineLvl w:val="6"/>
    </w:pPr>
    <w:rPr>
      <w:rFonts w:ascii="Arial" w:hAnsi="Arial" w:eastAsia="Arial" w:cs="Arial"/>
      <w:b/>
      <w:bCs/>
      <w:i/>
      <w:iCs/>
    </w:rPr>
  </w:style>
  <w:style w:type="paragraph" w:styleId="757">
    <w:name w:val="Heading 8"/>
    <w:basedOn w:val="749"/>
    <w:next w:val="749"/>
    <w:link w:val="782"/>
    <w:uiPriority w:val="9"/>
    <w:unhideWhenUsed/>
    <w:qFormat/>
    <w:pPr>
      <w:keepLines/>
      <w:keepNext/>
      <w:spacing w:before="320"/>
      <w:outlineLvl w:val="7"/>
    </w:pPr>
    <w:rPr>
      <w:rFonts w:ascii="Arial" w:hAnsi="Arial" w:eastAsia="Arial" w:cs="Arial"/>
      <w:i/>
      <w:iCs/>
    </w:rPr>
  </w:style>
  <w:style w:type="paragraph" w:styleId="758">
    <w:name w:val="Heading 9"/>
    <w:basedOn w:val="749"/>
    <w:next w:val="749"/>
    <w:link w:val="783"/>
    <w:uiPriority w:val="9"/>
    <w:unhideWhenUsed/>
    <w:qFormat/>
    <w:pPr>
      <w:keepLines/>
      <w:keepNext/>
      <w:spacing w:before="32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59" w:default="1">
    <w:name w:val="Default Paragraph Font"/>
    <w:uiPriority w:val="1"/>
    <w:semiHidden/>
    <w:unhideWhenUsed/>
  </w:style>
  <w:style w:type="table" w:styleId="760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761" w:default="1">
    <w:name w:val="No List"/>
    <w:uiPriority w:val="99"/>
    <w:semiHidden/>
    <w:unhideWhenUsed/>
  </w:style>
  <w:style w:type="character" w:styleId="762" w:customStyle="1">
    <w:name w:val="Heading 2 Char"/>
    <w:basedOn w:val="759"/>
    <w:uiPriority w:val="9"/>
    <w:rPr>
      <w:rFonts w:ascii="Arial" w:hAnsi="Arial" w:eastAsia="Arial" w:cs="Arial"/>
      <w:sz w:val="34"/>
    </w:rPr>
  </w:style>
  <w:style w:type="character" w:styleId="763" w:customStyle="1">
    <w:name w:val="Heading 4 Char"/>
    <w:basedOn w:val="759"/>
    <w:uiPriority w:val="9"/>
    <w:rPr>
      <w:rFonts w:ascii="Arial" w:hAnsi="Arial" w:eastAsia="Arial" w:cs="Arial"/>
      <w:b/>
      <w:bCs/>
      <w:sz w:val="26"/>
      <w:szCs w:val="26"/>
    </w:rPr>
  </w:style>
  <w:style w:type="character" w:styleId="764" w:customStyle="1">
    <w:name w:val="Heading 5 Char"/>
    <w:basedOn w:val="759"/>
    <w:uiPriority w:val="9"/>
    <w:rPr>
      <w:rFonts w:ascii="Arial" w:hAnsi="Arial" w:eastAsia="Arial" w:cs="Arial"/>
      <w:b/>
      <w:bCs/>
      <w:sz w:val="24"/>
      <w:szCs w:val="24"/>
    </w:rPr>
  </w:style>
  <w:style w:type="character" w:styleId="765" w:customStyle="1">
    <w:name w:val="Heading 6 Char"/>
    <w:basedOn w:val="759"/>
    <w:uiPriority w:val="9"/>
    <w:rPr>
      <w:rFonts w:ascii="Arial" w:hAnsi="Arial" w:eastAsia="Arial" w:cs="Arial"/>
      <w:b/>
      <w:bCs/>
      <w:sz w:val="22"/>
      <w:szCs w:val="22"/>
    </w:rPr>
  </w:style>
  <w:style w:type="character" w:styleId="766" w:customStyle="1">
    <w:name w:val="Heading 7 Char"/>
    <w:basedOn w:val="759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767" w:customStyle="1">
    <w:name w:val="Heading 8 Char"/>
    <w:basedOn w:val="759"/>
    <w:uiPriority w:val="9"/>
    <w:rPr>
      <w:rFonts w:ascii="Arial" w:hAnsi="Arial" w:eastAsia="Arial" w:cs="Arial"/>
      <w:i/>
      <w:iCs/>
      <w:sz w:val="22"/>
      <w:szCs w:val="22"/>
    </w:rPr>
  </w:style>
  <w:style w:type="character" w:styleId="768" w:customStyle="1">
    <w:name w:val="Heading 9 Char"/>
    <w:basedOn w:val="759"/>
    <w:uiPriority w:val="9"/>
    <w:rPr>
      <w:rFonts w:ascii="Arial" w:hAnsi="Arial" w:eastAsia="Arial" w:cs="Arial"/>
      <w:i/>
      <w:iCs/>
      <w:sz w:val="21"/>
      <w:szCs w:val="21"/>
    </w:rPr>
  </w:style>
  <w:style w:type="character" w:styleId="769" w:customStyle="1">
    <w:name w:val="Title Char"/>
    <w:basedOn w:val="759"/>
    <w:uiPriority w:val="10"/>
    <w:rPr>
      <w:sz w:val="48"/>
      <w:szCs w:val="48"/>
    </w:rPr>
  </w:style>
  <w:style w:type="character" w:styleId="770" w:customStyle="1">
    <w:name w:val="Subtitle Char"/>
    <w:basedOn w:val="759"/>
    <w:uiPriority w:val="11"/>
    <w:rPr>
      <w:sz w:val="24"/>
      <w:szCs w:val="24"/>
    </w:rPr>
  </w:style>
  <w:style w:type="character" w:styleId="771" w:customStyle="1">
    <w:name w:val="Quote Char"/>
    <w:uiPriority w:val="29"/>
    <w:rPr>
      <w:i/>
    </w:rPr>
  </w:style>
  <w:style w:type="character" w:styleId="772" w:customStyle="1">
    <w:name w:val="Intense Quote Char"/>
    <w:uiPriority w:val="30"/>
    <w:rPr>
      <w:i/>
    </w:rPr>
  </w:style>
  <w:style w:type="character" w:styleId="773" w:customStyle="1">
    <w:name w:val="Footnote Text Char"/>
    <w:uiPriority w:val="99"/>
    <w:rPr>
      <w:sz w:val="18"/>
    </w:rPr>
  </w:style>
  <w:style w:type="character" w:styleId="774" w:customStyle="1">
    <w:name w:val="Endnote Text Char"/>
    <w:uiPriority w:val="99"/>
    <w:rPr>
      <w:sz w:val="20"/>
    </w:rPr>
  </w:style>
  <w:style w:type="character" w:styleId="775" w:customStyle="1">
    <w:name w:val="Heading 1 Char"/>
    <w:uiPriority w:val="9"/>
    <w:rPr>
      <w:rFonts w:ascii="Arial" w:hAnsi="Arial" w:eastAsia="Arial" w:cs="Arial"/>
      <w:sz w:val="40"/>
      <w:szCs w:val="40"/>
    </w:rPr>
  </w:style>
  <w:style w:type="character" w:styleId="776" w:customStyle="1">
    <w:name w:val="Заголовок 2 Знак"/>
    <w:link w:val="751"/>
    <w:uiPriority w:val="9"/>
    <w:rPr>
      <w:rFonts w:ascii="Arial" w:hAnsi="Arial" w:eastAsia="Arial" w:cs="Arial"/>
      <w:sz w:val="34"/>
    </w:rPr>
  </w:style>
  <w:style w:type="character" w:styleId="777" w:customStyle="1">
    <w:name w:val="Heading 3 Char"/>
    <w:uiPriority w:val="9"/>
    <w:rPr>
      <w:rFonts w:ascii="Arial" w:hAnsi="Arial" w:eastAsia="Arial" w:cs="Arial"/>
      <w:sz w:val="30"/>
      <w:szCs w:val="30"/>
    </w:rPr>
  </w:style>
  <w:style w:type="character" w:styleId="778" w:customStyle="1">
    <w:name w:val="Заголовок 4 Знак"/>
    <w:link w:val="753"/>
    <w:uiPriority w:val="9"/>
    <w:rPr>
      <w:rFonts w:ascii="Arial" w:hAnsi="Arial" w:eastAsia="Arial" w:cs="Arial"/>
      <w:b/>
      <w:bCs/>
      <w:sz w:val="26"/>
      <w:szCs w:val="26"/>
    </w:rPr>
  </w:style>
  <w:style w:type="character" w:styleId="779" w:customStyle="1">
    <w:name w:val="Заголовок 5 Знак"/>
    <w:link w:val="754"/>
    <w:uiPriority w:val="9"/>
    <w:rPr>
      <w:rFonts w:ascii="Arial" w:hAnsi="Arial" w:eastAsia="Arial" w:cs="Arial"/>
      <w:b/>
      <w:bCs/>
      <w:sz w:val="24"/>
      <w:szCs w:val="24"/>
    </w:rPr>
  </w:style>
  <w:style w:type="character" w:styleId="780" w:customStyle="1">
    <w:name w:val="Заголовок 6 Знак"/>
    <w:link w:val="755"/>
    <w:uiPriority w:val="9"/>
    <w:rPr>
      <w:rFonts w:ascii="Arial" w:hAnsi="Arial" w:eastAsia="Arial" w:cs="Arial"/>
      <w:b/>
      <w:bCs/>
      <w:sz w:val="22"/>
      <w:szCs w:val="22"/>
    </w:rPr>
  </w:style>
  <w:style w:type="character" w:styleId="781" w:customStyle="1">
    <w:name w:val="Заголовок 7 Знак"/>
    <w:link w:val="75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782" w:customStyle="1">
    <w:name w:val="Заголовок 8 Знак"/>
    <w:link w:val="757"/>
    <w:uiPriority w:val="9"/>
    <w:rPr>
      <w:rFonts w:ascii="Arial" w:hAnsi="Arial" w:eastAsia="Arial" w:cs="Arial"/>
      <w:i/>
      <w:iCs/>
      <w:sz w:val="22"/>
      <w:szCs w:val="22"/>
    </w:rPr>
  </w:style>
  <w:style w:type="character" w:styleId="783" w:customStyle="1">
    <w:name w:val="Заголовок 9 Знак"/>
    <w:link w:val="758"/>
    <w:uiPriority w:val="9"/>
    <w:rPr>
      <w:rFonts w:ascii="Arial" w:hAnsi="Arial" w:eastAsia="Arial" w:cs="Arial"/>
      <w:i/>
      <w:iCs/>
      <w:sz w:val="21"/>
      <w:szCs w:val="21"/>
    </w:rPr>
  </w:style>
  <w:style w:type="paragraph" w:styleId="784">
    <w:name w:val="List Paragraph"/>
    <w:basedOn w:val="749"/>
    <w:uiPriority w:val="34"/>
    <w:qFormat/>
    <w:pPr>
      <w:contextualSpacing/>
      <w:ind w:left="720"/>
      <w:spacing w:after="0" w:line="240" w:lineRule="auto"/>
    </w:pPr>
    <w:rPr>
      <w:rFonts w:ascii="Times New Roman" w:hAnsi="Times New Roman"/>
      <w:sz w:val="24"/>
      <w:szCs w:val="24"/>
    </w:rPr>
  </w:style>
  <w:style w:type="paragraph" w:styleId="785">
    <w:name w:val="No Spacing"/>
    <w:uiPriority w:val="1"/>
    <w:qFormat/>
  </w:style>
  <w:style w:type="paragraph" w:styleId="786">
    <w:name w:val="Title"/>
    <w:basedOn w:val="749"/>
    <w:next w:val="749"/>
    <w:link w:val="787"/>
    <w:uiPriority w:val="10"/>
    <w:qFormat/>
    <w:pPr>
      <w:contextualSpacing/>
      <w:spacing w:before="300"/>
    </w:pPr>
    <w:rPr>
      <w:sz w:val="48"/>
      <w:szCs w:val="48"/>
    </w:rPr>
  </w:style>
  <w:style w:type="character" w:styleId="787" w:customStyle="1">
    <w:name w:val="Заголовок Знак"/>
    <w:link w:val="786"/>
    <w:uiPriority w:val="10"/>
    <w:rPr>
      <w:sz w:val="48"/>
      <w:szCs w:val="48"/>
    </w:rPr>
  </w:style>
  <w:style w:type="paragraph" w:styleId="788">
    <w:name w:val="Subtitle"/>
    <w:basedOn w:val="749"/>
    <w:next w:val="749"/>
    <w:link w:val="789"/>
    <w:uiPriority w:val="11"/>
    <w:qFormat/>
    <w:pPr>
      <w:spacing w:before="200"/>
    </w:pPr>
    <w:rPr>
      <w:sz w:val="24"/>
      <w:szCs w:val="24"/>
    </w:rPr>
  </w:style>
  <w:style w:type="character" w:styleId="789" w:customStyle="1">
    <w:name w:val="Подзаголовок Знак"/>
    <w:link w:val="788"/>
    <w:uiPriority w:val="11"/>
    <w:rPr>
      <w:sz w:val="24"/>
      <w:szCs w:val="24"/>
    </w:rPr>
  </w:style>
  <w:style w:type="paragraph" w:styleId="790">
    <w:name w:val="Quote"/>
    <w:basedOn w:val="749"/>
    <w:next w:val="749"/>
    <w:link w:val="791"/>
    <w:uiPriority w:val="29"/>
    <w:qFormat/>
    <w:pPr>
      <w:ind w:left="720" w:right="720"/>
    </w:pPr>
    <w:rPr>
      <w:i/>
    </w:rPr>
  </w:style>
  <w:style w:type="character" w:styleId="791" w:customStyle="1">
    <w:name w:val="Цитата 2 Знак"/>
    <w:link w:val="790"/>
    <w:uiPriority w:val="29"/>
    <w:rPr>
      <w:i/>
    </w:rPr>
  </w:style>
  <w:style w:type="paragraph" w:styleId="792">
    <w:name w:val="Intense Quote"/>
    <w:basedOn w:val="749"/>
    <w:next w:val="749"/>
    <w:link w:val="793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93" w:customStyle="1">
    <w:name w:val="Выделенная цитата Знак"/>
    <w:link w:val="792"/>
    <w:uiPriority w:val="30"/>
    <w:rPr>
      <w:i/>
    </w:rPr>
  </w:style>
  <w:style w:type="paragraph" w:styleId="794">
    <w:name w:val="Header"/>
    <w:basedOn w:val="749"/>
    <w:link w:val="1028"/>
    <w:uiPriority w:val="99"/>
    <w:unhideWhenUsed/>
    <w:pPr>
      <w:tabs>
        <w:tab w:val="center" w:pos="4677" w:leader="none"/>
        <w:tab w:val="right" w:pos="9355" w:leader="none"/>
      </w:tabs>
    </w:pPr>
    <w:rPr>
      <w:sz w:val="20"/>
      <w:szCs w:val="20"/>
      <w:lang w:val="en-US" w:eastAsia="en-US"/>
    </w:rPr>
  </w:style>
  <w:style w:type="character" w:styleId="795" w:customStyle="1">
    <w:name w:val="Header Char"/>
    <w:uiPriority w:val="99"/>
  </w:style>
  <w:style w:type="paragraph" w:styleId="796">
    <w:name w:val="Footer"/>
    <w:basedOn w:val="749"/>
    <w:link w:val="1029"/>
    <w:uiPriority w:val="99"/>
    <w:unhideWhenUsed/>
    <w:pPr>
      <w:tabs>
        <w:tab w:val="center" w:pos="4677" w:leader="none"/>
        <w:tab w:val="right" w:pos="9355" w:leader="none"/>
      </w:tabs>
    </w:pPr>
    <w:rPr>
      <w:sz w:val="20"/>
      <w:szCs w:val="20"/>
      <w:lang w:val="en-US" w:eastAsia="en-US"/>
    </w:rPr>
  </w:style>
  <w:style w:type="character" w:styleId="797" w:customStyle="1">
    <w:name w:val="Footer Char"/>
    <w:uiPriority w:val="99"/>
  </w:style>
  <w:style w:type="paragraph" w:styleId="798">
    <w:name w:val="Caption"/>
    <w:basedOn w:val="749"/>
    <w:next w:val="749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styleId="799" w:customStyle="1">
    <w:name w:val="Caption Char"/>
    <w:uiPriority w:val="99"/>
  </w:style>
  <w:style w:type="table" w:styleId="800">
    <w:name w:val="Table Grid"/>
    <w:basedOn w:val="760"/>
    <w:uiPriority w:val="59"/>
    <w:tblPr/>
  </w:style>
  <w:style w:type="table" w:styleId="801" w:customStyle="1">
    <w:name w:val="Table Grid Light"/>
    <w:uiPriority w:val="59"/>
    <w:tblPr>
      <w:tblInd w:w="0" w:type="dxa"/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802">
    <w:name w:val="Plain Table 1"/>
    <w:uiPriority w:val="59"/>
    <w:tblPr>
      <w:tblInd w:w="0" w:type="dxa"/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803">
    <w:name w:val="Plain Table 2"/>
    <w:uiPriority w:val="59"/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804">
    <w:name w:val="Plain Table 3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805">
    <w:name w:val="Plain Table 4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6">
    <w:name w:val="Plain Table 5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807">
    <w:name w:val="Grid Table 1 Light"/>
    <w:uiPriority w:val="99"/>
    <w:tblPr>
      <w:tblStyleRowBandSize w:val="1"/>
      <w:tblStyleColBandSize w:val="1"/>
      <w:tblInd w:w="0" w:type="dxa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8" w:customStyle="1">
    <w:name w:val="Grid Table 1 Light - Accent 1"/>
    <w:uiPriority w:val="99"/>
    <w:tblPr>
      <w:tblStyleRowBandSize w:val="1"/>
      <w:tblStyleColBandSize w:val="1"/>
      <w:tblInd w:w="0" w:type="dxa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7B4D8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9" w:customStyle="1">
    <w:name w:val="Grid Table 1 Light - Accent 2"/>
    <w:uiPriority w:val="99"/>
    <w:tblPr>
      <w:tblStyleRowBandSize w:val="1"/>
      <w:tblStyleColBandSize w:val="1"/>
      <w:tblInd w:w="0" w:type="dxa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DA9896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0" w:customStyle="1">
    <w:name w:val="Grid Table 1 Light - Accent 3"/>
    <w:uiPriority w:val="99"/>
    <w:tblPr>
      <w:tblStyleRowBandSize w:val="1"/>
      <w:tblStyleColBandSize w:val="1"/>
      <w:tblInd w:w="0" w:type="dxa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C4D79D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1" w:customStyle="1">
    <w:name w:val="Grid Table 1 Light - Accent 4"/>
    <w:uiPriority w:val="99"/>
    <w:tblPr>
      <w:tblStyleRowBandSize w:val="1"/>
      <w:tblStyleColBandSize w:val="1"/>
      <w:tblInd w:w="0" w:type="dxa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B4A4C8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2" w:customStyle="1">
    <w:name w:val="Grid Table 1 Light - Accent 5"/>
    <w:uiPriority w:val="99"/>
    <w:tblPr>
      <w:tblStyleRowBandSize w:val="1"/>
      <w:tblStyleColBandSize w:val="1"/>
      <w:tblInd w:w="0" w:type="dxa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5CEDD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3" w:customStyle="1">
    <w:name w:val="Grid Table 1 Light - Accent 6"/>
    <w:uiPriority w:val="99"/>
    <w:tblPr>
      <w:tblStyleRowBandSize w:val="1"/>
      <w:tblStyleColBandSize w:val="1"/>
      <w:tblInd w:w="0" w:type="dxa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AC192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4">
    <w:name w:val="Grid Table 2"/>
    <w:uiPriority w:val="99"/>
    <w:tblPr>
      <w:tblStyleRowBandSize w:val="1"/>
      <w:tblStyleColBandSize w:val="1"/>
      <w:tblInd w:w="0" w:type="dxa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5" w:customStyle="1">
    <w:name w:val="Grid Table 2 - Accent 1"/>
    <w:uiPriority w:val="99"/>
    <w:tblPr>
      <w:tblStyleRowBandSize w:val="1"/>
      <w:tblStyleColBandSize w:val="1"/>
      <w:tblInd w:w="0" w:type="dxa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5D8AC2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5D8AC2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6" w:customStyle="1">
    <w:name w:val="Grid Table 2 - Accent 2"/>
    <w:uiPriority w:val="99"/>
    <w:tblPr>
      <w:tblStyleRowBandSize w:val="1"/>
      <w:tblStyleColBandSize w:val="1"/>
      <w:tblInd w:w="0" w:type="dxa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D99695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7" w:customStyle="1">
    <w:name w:val="Grid Table 2 - Accent 3"/>
    <w:uiPriority w:val="99"/>
    <w:tblPr>
      <w:tblStyleRowBandSize w:val="1"/>
      <w:tblStyleColBandSize w:val="1"/>
      <w:tblInd w:w="0" w:type="dxa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9ABB59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8" w:customStyle="1">
    <w:name w:val="Grid Table 2 - Accent 4"/>
    <w:uiPriority w:val="99"/>
    <w:tblPr>
      <w:tblStyleRowBandSize w:val="1"/>
      <w:tblStyleColBandSize w:val="1"/>
      <w:tblInd w:w="0" w:type="dxa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B2A1C6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9" w:customStyle="1">
    <w:name w:val="Grid Table 2 - Accent 5"/>
    <w:uiPriority w:val="99"/>
    <w:tblPr>
      <w:tblStyleRowBandSize w:val="1"/>
      <w:tblStyleColBandSize w:val="1"/>
      <w:tblInd w:w="0" w:type="dxa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4BACC6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0" w:customStyle="1">
    <w:name w:val="Grid Table 2 - Accent 6"/>
    <w:uiPriority w:val="99"/>
    <w:tblPr>
      <w:tblStyleRowBandSize w:val="1"/>
      <w:tblStyleColBandSize w:val="1"/>
      <w:tblInd w:w="0" w:type="dxa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79646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1">
    <w:name w:val="Grid Table 3"/>
    <w:uiPriority w:val="99"/>
    <w:tblPr>
      <w:tblStyleRowBandSize w:val="1"/>
      <w:tblStyleColBandSize w:val="1"/>
      <w:tblInd w:w="0" w:type="dxa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2" w:customStyle="1">
    <w:name w:val="Grid Table 3 - Accent 1"/>
    <w:uiPriority w:val="99"/>
    <w:tblPr>
      <w:tblStyleRowBandSize w:val="1"/>
      <w:tblStyleColBandSize w:val="1"/>
      <w:tblInd w:w="0" w:type="dxa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3" w:customStyle="1">
    <w:name w:val="Grid Table 3 - Accent 2"/>
    <w:uiPriority w:val="99"/>
    <w:tblPr>
      <w:tblStyleRowBandSize w:val="1"/>
      <w:tblStyleColBandSize w:val="1"/>
      <w:tblInd w:w="0" w:type="dxa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4" w:customStyle="1">
    <w:name w:val="Grid Table 3 - Accent 3"/>
    <w:uiPriority w:val="99"/>
    <w:tblPr>
      <w:tblStyleRowBandSize w:val="1"/>
      <w:tblStyleColBandSize w:val="1"/>
      <w:tblInd w:w="0" w:type="dxa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5" w:customStyle="1">
    <w:name w:val="Grid Table 3 - Accent 4"/>
    <w:uiPriority w:val="99"/>
    <w:tblPr>
      <w:tblStyleRowBandSize w:val="1"/>
      <w:tblStyleColBandSize w:val="1"/>
      <w:tblInd w:w="0" w:type="dxa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6" w:customStyle="1">
    <w:name w:val="Grid Table 3 - Accent 5"/>
    <w:uiPriority w:val="99"/>
    <w:tblPr>
      <w:tblStyleRowBandSize w:val="1"/>
      <w:tblStyleColBandSize w:val="1"/>
      <w:tblInd w:w="0" w:type="dxa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7" w:customStyle="1">
    <w:name w:val="Grid Table 3 - Accent 6"/>
    <w:uiPriority w:val="99"/>
    <w:tblPr>
      <w:tblStyleRowBandSize w:val="1"/>
      <w:tblStyleColBandSize w:val="1"/>
      <w:tblInd w:w="0" w:type="dxa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8">
    <w:name w:val="Grid Table 4"/>
    <w:uiPriority w:val="59"/>
    <w:tblPr>
      <w:tblStyleRowBandSize w:val="1"/>
      <w:tblStyleColBandSize w:val="1"/>
      <w:tblInd w:w="0" w:type="dxa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829" w:customStyle="1">
    <w:name w:val="Grid Table 4 - Accent 1"/>
    <w:uiPriority w:val="59"/>
    <w:tblPr>
      <w:tblStyleRowBandSize w:val="1"/>
      <w:tblStyleColBandSize w:val="1"/>
      <w:tblInd w:w="0" w:type="dxa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d8ac2" w:themeColor="accent1" w:themeTint="EA" w:fill="5d8ac2" w:themeFill="accent1" w:themeFillTint="EA"/>
        <w:tcBorders>
          <w:top w:val="single" w:color="5D8AC2" w:themeColor="accent1" w:themeTint="EA" w:sz="4" w:space="0"/>
          <w:left w:val="single" w:color="5D8AC2" w:themeColor="accent1" w:themeTint="EA" w:sz="4" w:space="0"/>
          <w:bottom w:val="single" w:color="5D8AC2" w:themeColor="accent1" w:themeTint="EA" w:sz="4" w:space="0"/>
          <w:right w:val="single" w:color="5D8AC2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5D8AC2" w:themeColor="accent1" w:themeTint="EA" w:sz="4" w:space="0"/>
        </w:tcBorders>
      </w:tcPr>
    </w:tblStylePr>
  </w:style>
  <w:style w:type="table" w:styleId="830" w:customStyle="1">
    <w:name w:val="Grid Table 4 - Accent 2"/>
    <w:uiPriority w:val="59"/>
    <w:tblPr>
      <w:tblStyleRowBandSize w:val="1"/>
      <w:tblStyleColBandSize w:val="1"/>
      <w:tblInd w:w="0" w:type="dxa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  <w:insideV w:val="single" w:color="DB9B9A" w:themeColor="accent2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4" w:space="0"/>
          <w:left w:val="single" w:color="D99695" w:themeColor="accent2" w:themeTint="97" w:sz="4" w:space="0"/>
          <w:bottom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D99695" w:themeColor="accent2" w:themeTint="97" w:sz="4" w:space="0"/>
        </w:tcBorders>
      </w:tcPr>
    </w:tblStylePr>
  </w:style>
  <w:style w:type="table" w:styleId="831" w:customStyle="1">
    <w:name w:val="Grid Table 4 - Accent 3"/>
    <w:uiPriority w:val="59"/>
    <w:tblPr>
      <w:tblStyleRowBandSize w:val="1"/>
      <w:tblStyleColBandSize w:val="1"/>
      <w:tblInd w:w="0" w:type="dxa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abb59" w:themeColor="accent3" w:themeTint="FE" w:fill="9abb59" w:themeFill="accent3" w:themeFillTint="FE"/>
        <w:tcBorders>
          <w:top w:val="single" w:color="9ABB59" w:themeColor="accent3" w:themeTint="FE" w:sz="4" w:space="0"/>
          <w:left w:val="single" w:color="9ABB59" w:themeColor="accent3" w:themeTint="FE" w:sz="4" w:space="0"/>
          <w:bottom w:val="single" w:color="9ABB59" w:themeColor="accent3" w:themeTint="FE" w:sz="4" w:space="0"/>
          <w:right w:val="single" w:color="9ABB59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ABB59" w:themeColor="accent3" w:themeTint="FE" w:sz="4" w:space="0"/>
        </w:tcBorders>
      </w:tcPr>
    </w:tblStylePr>
  </w:style>
  <w:style w:type="table" w:styleId="832" w:customStyle="1">
    <w:name w:val="Grid Table 4 - Accent 4"/>
    <w:uiPriority w:val="59"/>
    <w:tblPr>
      <w:tblStyleRowBandSize w:val="1"/>
      <w:tblStyleColBandSize w:val="1"/>
      <w:tblInd w:w="0" w:type="dxa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4" w:space="0"/>
          <w:left w:val="single" w:color="B2A1C6" w:themeColor="accent4" w:themeTint="9A" w:sz="4" w:space="0"/>
          <w:bottom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B2A1C6" w:themeColor="accent4" w:themeTint="9A" w:sz="4" w:space="0"/>
        </w:tcBorders>
      </w:tcPr>
    </w:tblStylePr>
  </w:style>
  <w:style w:type="table" w:styleId="833" w:customStyle="1">
    <w:name w:val="Grid Table 4 - Accent 5"/>
    <w:uiPriority w:val="59"/>
    <w:tblPr>
      <w:tblStyleRowBandSize w:val="1"/>
      <w:tblStyleColBandSize w:val="1"/>
      <w:tblInd w:w="0" w:type="dxa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</w:tcBorders>
      </w:tcPr>
    </w:tblStylePr>
  </w:style>
  <w:style w:type="table" w:styleId="834" w:customStyle="1">
    <w:name w:val="Grid Table 4 - Accent 6"/>
    <w:uiPriority w:val="59"/>
    <w:tblPr>
      <w:tblStyleRowBandSize w:val="1"/>
      <w:tblStyleColBandSize w:val="1"/>
      <w:tblInd w:w="0" w:type="dxa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</w:tcBorders>
      </w:tcPr>
    </w:tblStylePr>
  </w:style>
  <w:style w:type="table" w:styleId="835">
    <w:name w:val="Grid Table 5 Dark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8a8a8a" w:themeColor="text1" w:themeTint="75" w:fill="8a8a8a" w:themeFill="text1" w:themeFillTint="75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FFFFFF" w:themeColor="light1" w:sz="4" w:space="0"/>
        </w:tcBorders>
      </w:tcPr>
    </w:tblStylePr>
  </w:style>
  <w:style w:type="table" w:styleId="836" w:customStyle="1">
    <w:name w:val="Grid Table 5 Dark- Accent 1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5f1" w:themeColor="accent1" w:themeTint="34" w:fill="dae5f1" w:themeFill="accent1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aec4e0" w:themeColor="accent1" w:themeTint="75" w:fill="aec4e0" w:themeFill="accent1" w:themeFillTint="75"/>
      </w:tcPr>
    </w:tblStylePr>
    <w:tblStylePr w:type="band1Vert">
      <w:tcPr>
        <w:shd w:val="clear" w:color="aec4e0" w:themeColor="accent1" w:themeTint="75" w:fill="aec4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  <w:tcBorders>
          <w:top w:val="single" w:color="FFFFFF" w:themeColor="light1" w:sz="4" w:space="0"/>
        </w:tcBorders>
      </w:tcPr>
    </w:tblStylePr>
  </w:style>
  <w:style w:type="table" w:styleId="837" w:customStyle="1">
    <w:name w:val="Grid Table 5 Dark - Accent 2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2dcdc" w:themeColor="accent2" w:themeTint="32" w:fill="f2dcdc" w:themeFill="accent2" w:themeFillTint="32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e2aead" w:themeColor="accent2" w:themeTint="75" w:fill="e2aead" w:themeFill="accent2" w:themeFillTint="75"/>
      </w:tcPr>
    </w:tblStylePr>
    <w:tblStylePr w:type="band1Vert">
      <w:tcPr>
        <w:shd w:val="clear" w:color="e2aead" w:themeColor="accent2" w:themeTint="75" w:fill="e2aead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  <w:tcBorders>
          <w:top w:val="single" w:color="FFFFFF" w:themeColor="light1" w:sz="4" w:space="0"/>
        </w:tcBorders>
      </w:tcPr>
    </w:tblStylePr>
  </w:style>
  <w:style w:type="table" w:styleId="838" w:customStyle="1">
    <w:name w:val="Grid Table 5 Dark - Accent 3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af1dc" w:themeColor="accent3" w:themeTint="34" w:fill="eaf1dc" w:themeFill="accent3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0dfb2" w:themeColor="accent3" w:themeTint="75" w:fill="d0dfb2" w:themeFill="accent3" w:themeFillTint="75"/>
      </w:tcPr>
    </w:tblStylePr>
    <w:tblStylePr w:type="band1Vert">
      <w:tcPr>
        <w:shd w:val="clear" w:color="d0dfb2" w:themeColor="accent3" w:themeTint="75" w:fill="d0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  <w:tcBorders>
          <w:top w:val="single" w:color="FFFFFF" w:themeColor="light1" w:sz="4" w:space="0"/>
        </w:tcBorders>
      </w:tcPr>
    </w:tblStylePr>
  </w:style>
  <w:style w:type="table" w:styleId="839" w:customStyle="1">
    <w:name w:val="Grid Table 5 Dark- Accent 4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5dfec" w:themeColor="accent4" w:themeTint="34" w:fill="e5dfec" w:themeFill="accent4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c4b7d4" w:themeColor="accent4" w:themeTint="75" w:fill="c4b7d4" w:themeFill="accent4" w:themeFillTint="75"/>
      </w:tcPr>
    </w:tblStylePr>
    <w:tblStylePr w:type="band1Vert">
      <w:tcPr>
        <w:shd w:val="clear" w:color="c4b7d4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  <w:tcBorders>
          <w:top w:val="single" w:color="FFFFFF" w:themeColor="light1" w:sz="4" w:space="0"/>
        </w:tcBorders>
      </w:tcPr>
    </w:tblStylePr>
  </w:style>
  <w:style w:type="table" w:styleId="840" w:customStyle="1">
    <w:name w:val="Grid Table 5 Dark - Accent 5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ef3" w:themeColor="accent5" w:themeTint="34" w:fill="daeef3" w:themeFill="accent5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acd8e4" w:themeColor="accent5" w:themeTint="75" w:fill="acd8e4" w:themeFill="accent5" w:themeFillTint="75"/>
      </w:tcPr>
    </w:tblStylePr>
    <w:tblStylePr w:type="band1Vert">
      <w:tcPr>
        <w:shd w:val="clear" w:color="acd8e4" w:themeColor="accent5" w:themeTint="75" w:fill="acd8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FFFFFF" w:themeColor="light1" w:sz="4" w:space="0"/>
        </w:tcBorders>
      </w:tcPr>
    </w:tblStylePr>
  </w:style>
  <w:style w:type="table" w:styleId="841" w:customStyle="1">
    <w:name w:val="Grid Table 5 Dark - Accent 6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de9d8" w:themeColor="accent6" w:themeTint="34" w:fill="fde9d8" w:themeFill="accent6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fbceaa" w:themeColor="accent6" w:themeTint="75" w:fill="fbceaa" w:themeFill="accent6" w:themeFillTint="75"/>
      </w:tcPr>
    </w:tblStylePr>
    <w:tblStylePr w:type="band1Vert">
      <w:tcPr>
        <w:shd w:val="clear" w:color="fbceaa" w:themeColor="accent6" w:themeTint="75" w:fill="fbceaa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FFFFF" w:themeColor="light1" w:sz="4" w:space="0"/>
        </w:tcBorders>
      </w:tcPr>
    </w:tblStylePr>
  </w:style>
  <w:style w:type="table" w:styleId="842">
    <w:name w:val="Grid Table 6 Colorful"/>
    <w:uiPriority w:val="99"/>
    <w:tblPr>
      <w:tblStyleRowBandSize w:val="1"/>
      <w:tblStyleColBandSize w:val="1"/>
      <w:tblInd w:w="0" w:type="dxa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843" w:customStyle="1">
    <w:name w:val="Grid Table 6 Colorful - Accent 1"/>
    <w:uiPriority w:val="99"/>
    <w:tblPr>
      <w:tblStyleRowBandSize w:val="1"/>
      <w:tblStyleColBandSize w:val="1"/>
      <w:tblInd w:w="0" w:type="dxa"/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b/>
        <w:color w:val="a6bfdd" w:themeColor="accent1" w:themeTint="80" w:themeShade="95"/>
      </w:rPr>
    </w:tblStylePr>
    <w:tblStylePr w:type="firstRow">
      <w:rPr>
        <w:b/>
        <w:color w:val="a6bfdd" w:themeColor="accent1" w:themeTint="80" w:themeShade="95"/>
      </w:rPr>
      <w:tcPr>
        <w:tcBorders>
          <w:bottom w:val="single" w:color="A6BFDD" w:themeColor="accent1" w:themeTint="80" w:sz="12" w:space="0"/>
        </w:tcBorders>
      </w:tcPr>
    </w:tblStylePr>
    <w:tblStylePr w:type="lastCol">
      <w:rPr>
        <w:b/>
        <w:color w:val="a6bfdd" w:themeColor="accent1" w:themeTint="80" w:themeShade="95"/>
      </w:rPr>
    </w:tblStylePr>
    <w:tblStylePr w:type="lastRow">
      <w:rPr>
        <w:b/>
        <w:color w:val="a6bfdd" w:themeColor="accent1" w:themeTint="80" w:themeShade="95"/>
      </w:rPr>
    </w:tblStylePr>
  </w:style>
  <w:style w:type="table" w:styleId="844" w:customStyle="1">
    <w:name w:val="Grid Table 6 Colorful - Accent 2"/>
    <w:uiPriority w:val="99"/>
    <w:tblPr>
      <w:tblStyleRowBandSize w:val="1"/>
      <w:tblStyleColBandSize w:val="1"/>
      <w:tblInd w:w="0" w:type="dxa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</w:tblStylePr>
  </w:style>
  <w:style w:type="table" w:styleId="845" w:customStyle="1">
    <w:name w:val="Grid Table 6 Colorful - Accent 3"/>
    <w:uiPriority w:val="99"/>
    <w:tblPr>
      <w:tblStyleRowBandSize w:val="1"/>
      <w:tblStyleColBandSize w:val="1"/>
      <w:tblInd w:w="0" w:type="dxa"/>
      <w:tblBorders>
        <w:top w:val="single" w:color="9ABB59" w:themeColor="accent3" w:themeTint="FE" w:sz="4" w:space="0"/>
        <w:left w:val="single" w:color="9ABB59" w:themeColor="accent3" w:themeTint="FE" w:sz="4" w:space="0"/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b/>
        <w:color w:val="9abb59" w:themeColor="accent3" w:themeTint="FE" w:themeShade="95"/>
      </w:rPr>
    </w:tblStylePr>
    <w:tblStylePr w:type="firstRow">
      <w:rPr>
        <w:b/>
        <w:color w:val="9abb59" w:themeColor="accent3" w:themeTint="FE" w:themeShade="95"/>
      </w:rPr>
      <w:tcPr>
        <w:tcBorders>
          <w:bottom w:val="single" w:color="9ABB59" w:themeColor="accent3" w:themeTint="FE" w:sz="12" w:space="0"/>
        </w:tcBorders>
      </w:tcPr>
    </w:tblStylePr>
    <w:tblStylePr w:type="lastCol">
      <w:rPr>
        <w:b/>
        <w:color w:val="9abb59" w:themeColor="accent3" w:themeTint="FE" w:themeShade="95"/>
      </w:rPr>
    </w:tblStylePr>
    <w:tblStylePr w:type="lastRow">
      <w:rPr>
        <w:b/>
        <w:color w:val="9abb59" w:themeColor="accent3" w:themeTint="FE" w:themeShade="95"/>
      </w:rPr>
    </w:tblStylePr>
  </w:style>
  <w:style w:type="table" w:styleId="846" w:customStyle="1">
    <w:name w:val="Grid Table 6 Colorful - Accent 4"/>
    <w:uiPriority w:val="99"/>
    <w:tblPr>
      <w:tblStyleRowBandSize w:val="1"/>
      <w:tblStyleColBandSize w:val="1"/>
      <w:tblInd w:w="0" w:type="dxa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</w:tblStylePr>
  </w:style>
  <w:style w:type="table" w:styleId="847" w:customStyle="1">
    <w:name w:val="Grid Table 6 Colorful - Accent 5"/>
    <w:uiPriority w:val="99"/>
    <w:tblPr>
      <w:tblStyleRowBandSize w:val="1"/>
      <w:tblStyleColBandSize w:val="1"/>
      <w:tblInd w:w="0" w:type="dxa"/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4BACC6" w:themeColor="accent5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848" w:customStyle="1">
    <w:name w:val="Grid Table 6 Colorful - Accent 6"/>
    <w:uiPriority w:val="99"/>
    <w:tblPr>
      <w:tblStyleRowBandSize w:val="1"/>
      <w:tblStyleColBandSize w:val="1"/>
      <w:tblInd w:w="0" w:type="dxa"/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F79646" w:themeColor="accent6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849">
    <w:name w:val="Grid Table 7 Colorful"/>
    <w:uiPriority w:val="99"/>
    <w:tblPr>
      <w:tblStyleRowBandSize w:val="1"/>
      <w:tblStyleColBandSize w:val="1"/>
      <w:tblInd w:w="0" w:type="dxa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0" w:customStyle="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rFonts w:ascii="Arial" w:hAnsi="Arial"/>
        <w:i/>
        <w:color w:val="a6bfdd" w:themeColor="accen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6BFDD" w:themeColor="accent1" w:themeTint="80" w:sz="4" w:space="0"/>
        </w:tcBorders>
      </w:tcPr>
    </w:tblStylePr>
    <w:tblStylePr w:type="fir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6BFDD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A6BFDD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A6BFDD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1" w:customStyle="1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D99695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D99695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2" w:customStyle="1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rFonts w:ascii="Arial" w:hAnsi="Arial"/>
        <w:i/>
        <w:color w:val="9abb59" w:themeColor="accent3" w:themeTint="FE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ABB59" w:themeColor="accent3" w:themeTint="FE" w:sz="4" w:space="0"/>
        </w:tcBorders>
      </w:tcPr>
    </w:tblStylePr>
    <w:tblStylePr w:type="fir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ABB59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cPr>
        <w:shd w:val="clear" w:color="ffffff" w:fill="auto"/>
        <w:tcBorders>
          <w:top w:val="none" w:color="000000" w:sz="4" w:space="0"/>
          <w:left w:val="single" w:color="9ABB59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3" w:customStyle="1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B2A1C6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B2A1C6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4" w:customStyle="1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rFonts w:ascii="Arial" w:hAnsi="Arial"/>
        <w:i/>
        <w:color w:val="266779" w:themeColor="accent5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9D0DE" w:themeColor="accent5" w:themeTint="90" w:sz="4" w:space="0"/>
        </w:tcBorders>
      </w:tcPr>
    </w:tblStylePr>
    <w:tblStylePr w:type="fir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cPr>
        <w:shd w:val="clear" w:color="ffffff" w:fill="auto"/>
        <w:tcBorders>
          <w:top w:val="none" w:color="000000" w:sz="4" w:space="0"/>
          <w:left w:val="single" w:color="99D0DE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single" w:color="99D0DE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5" w:customStyle="1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15407" w:themeColor="accent6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  <w:tblStylePr w:type="firstCol">
      <w:rPr>
        <w:rFonts w:ascii="Arial" w:hAnsi="Arial"/>
        <w:i/>
        <w:color w:val="b15407" w:themeColor="accent6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AC396" w:themeColor="accent6" w:themeTint="90" w:sz="4" w:space="0"/>
        </w:tcBorders>
      </w:tcPr>
    </w:tblStylePr>
    <w:tblStylePr w:type="fir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cPr>
        <w:shd w:val="clear" w:color="ffffff" w:fill="auto"/>
        <w:tcBorders>
          <w:top w:val="none" w:color="000000" w:sz="4" w:space="0"/>
          <w:left w:val="single" w:color="FAC396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single" w:color="FAC396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6">
    <w:name w:val="List Table 1 Light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7" w:customStyle="1">
    <w:name w:val="List Table 1 Light - Accent 1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8" w:customStyle="1">
    <w:name w:val="List Table 1 Light - Accent 2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C0504D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C0504D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9" w:customStyle="1">
    <w:name w:val="List Table 1 Light - Accent 3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9BBB59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BBB59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0" w:customStyle="1">
    <w:name w:val="List Table 1 Light - Accent 4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8064A2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8064A2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1" w:customStyle="1">
    <w:name w:val="List Table 1 Light - Accent 5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BACC6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2" w:customStyle="1">
    <w:name w:val="List Table 1 Light - Accent 6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79646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3">
    <w:name w:val="List Table 2"/>
    <w:uiPriority w:val="99"/>
    <w:tblPr>
      <w:tblStyleRowBandSize w:val="1"/>
      <w:tblStyleColBandSize w:val="1"/>
      <w:tblInd w:w="0" w:type="dxa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864" w:customStyle="1">
    <w:name w:val="List Table 2 - Accent 1"/>
    <w:uiPriority w:val="99"/>
    <w:tblPr>
      <w:tblStyleRowBandSize w:val="1"/>
      <w:tblStyleColBandSize w:val="1"/>
      <w:tblInd w:w="0" w:type="dxa"/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</w:style>
  <w:style w:type="table" w:styleId="865" w:customStyle="1">
    <w:name w:val="List Table 2 - Accent 2"/>
    <w:uiPriority w:val="99"/>
    <w:tblPr>
      <w:tblStyleRowBandSize w:val="1"/>
      <w:tblStyleColBandSize w:val="1"/>
      <w:tblInd w:w="0" w:type="dxa"/>
      <w:tblBorders>
        <w:top w:val="single" w:color="DB9B9A" w:themeColor="accent2" w:themeTint="90" w:sz="4" w:space="0"/>
        <w:bottom w:val="single" w:color="DB9B9A" w:themeColor="accent2" w:themeTint="90" w:sz="4" w:space="0"/>
        <w:insideH w:val="single" w:color="DB9B9A" w:themeColor="accent2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</w:style>
  <w:style w:type="table" w:styleId="866" w:customStyle="1">
    <w:name w:val="List Table 2 - Accent 3"/>
    <w:uiPriority w:val="99"/>
    <w:tblPr>
      <w:tblStyleRowBandSize w:val="1"/>
      <w:tblStyleColBandSize w:val="1"/>
      <w:tblInd w:w="0" w:type="dxa"/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</w:style>
  <w:style w:type="table" w:styleId="867" w:customStyle="1">
    <w:name w:val="List Table 2 - Accent 4"/>
    <w:uiPriority w:val="99"/>
    <w:tblPr>
      <w:tblStyleRowBandSize w:val="1"/>
      <w:tblStyleColBandSize w:val="1"/>
      <w:tblInd w:w="0" w:type="dxa"/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</w:style>
  <w:style w:type="table" w:styleId="868" w:customStyle="1">
    <w:name w:val="List Table 2 - Accent 5"/>
    <w:uiPriority w:val="99"/>
    <w:tblPr>
      <w:tblStyleRowBandSize w:val="1"/>
      <w:tblStyleColBandSize w:val="1"/>
      <w:tblInd w:w="0" w:type="dxa"/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</w:style>
  <w:style w:type="table" w:styleId="869" w:customStyle="1">
    <w:name w:val="List Table 2 - Accent 6"/>
    <w:uiPriority w:val="99"/>
    <w:tblPr>
      <w:tblStyleRowBandSize w:val="1"/>
      <w:tblStyleColBandSize w:val="1"/>
      <w:tblInd w:w="0" w:type="dxa"/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</w:style>
  <w:style w:type="table" w:styleId="870">
    <w:name w:val="List Table 3"/>
    <w:uiPriority w:val="99"/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71" w:customStyle="1">
    <w:name w:val="List Table 3 - Accent 1"/>
    <w:uiPriority w:val="99"/>
    <w:tblPr>
      <w:tblStyleRowBandSize w:val="1"/>
      <w:tblStyleColBandSize w:val="1"/>
      <w:tblInd w:w="0" w:type="dxa"/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72" w:customStyle="1">
    <w:name w:val="List Table 3 - Accent 2"/>
    <w:uiPriority w:val="99"/>
    <w:tblPr>
      <w:tblStyleRowBandSize w:val="1"/>
      <w:tblStyleColBandSize w:val="1"/>
      <w:tblInd w:w="0" w:type="dxa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D99695" w:themeColor="accent2" w:themeTint="97" w:sz="4" w:space="0"/>
          <w:bottom w:val="single" w:color="D99695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73" w:customStyle="1">
    <w:name w:val="List Table 3 - Accent 3"/>
    <w:uiPriority w:val="99"/>
    <w:tblPr>
      <w:tblStyleRowBandSize w:val="1"/>
      <w:tblStyleColBandSize w:val="1"/>
      <w:tblInd w:w="0" w:type="dxa"/>
      <w:tblBorders>
        <w:top w:val="single" w:color="C3D69B" w:themeColor="accent3" w:themeTint="98" w:sz="4" w:space="0"/>
        <w:left w:val="single" w:color="C3D69B" w:themeColor="accent3" w:themeTint="98" w:sz="4" w:space="0"/>
        <w:bottom w:val="single" w:color="C3D69B" w:themeColor="accent3" w:themeTint="98" w:sz="4" w:space="0"/>
        <w:right w:val="single" w:color="C3D69B" w:themeColor="accent3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C3D69B" w:themeColor="accent3" w:themeTint="98" w:sz="4" w:space="0"/>
          <w:bottom w:val="single" w:color="C3D69B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3D69B" w:themeColor="accent3" w:themeTint="98" w:sz="4" w:space="0"/>
          <w:right w:val="single" w:color="C3D69B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3d69b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74" w:customStyle="1">
    <w:name w:val="List Table 3 - Accent 4"/>
    <w:uiPriority w:val="99"/>
    <w:tblPr>
      <w:tblStyleRowBandSize w:val="1"/>
      <w:tblStyleColBandSize w:val="1"/>
      <w:tblInd w:w="0" w:type="dxa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2A1C6" w:themeColor="accent4" w:themeTint="9A" w:sz="4" w:space="0"/>
          <w:bottom w:val="single" w:color="B2A1C6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75" w:customStyle="1">
    <w:name w:val="List Table 3 - Accent 5"/>
    <w:uiPriority w:val="99"/>
    <w:tblPr>
      <w:tblStyleRowBandSize w:val="1"/>
      <w:tblStyleColBandSize w:val="1"/>
      <w:tblInd w:w="0" w:type="dxa"/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92CCDC" w:themeColor="accent5" w:themeTint="9A" w:sz="4" w:space="0"/>
          <w:bottom w:val="single" w:color="92CCDC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92CCDC" w:themeColor="accent5" w:themeTint="9A" w:sz="4" w:space="0"/>
          <w:right w:val="single" w:color="92CCDC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2ccdc" w:themeColor="accent5" w:themeTint="9A" w:fill="92cc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76" w:customStyle="1">
    <w:name w:val="List Table 3 - Accent 6"/>
    <w:uiPriority w:val="99"/>
    <w:tblPr>
      <w:tblStyleRowBandSize w:val="1"/>
      <w:tblStyleColBandSize w:val="1"/>
      <w:tblInd w:w="0" w:type="dxa"/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FAC090" w:themeColor="accent6" w:themeTint="98" w:sz="4" w:space="0"/>
          <w:bottom w:val="single" w:color="FAC09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AC090" w:themeColor="accent6" w:themeTint="98" w:sz="4" w:space="0"/>
          <w:right w:val="single" w:color="FAC09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ac090" w:themeColor="accent6" w:themeTint="98" w:fill="fac0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77">
    <w:name w:val="List Table 4"/>
    <w:uiPriority w:val="99"/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78" w:customStyle="1">
    <w:name w:val="List Table 4 - Accent 1"/>
    <w:uiPriority w:val="99"/>
    <w:tblPr>
      <w:tblStyleRowBandSize w:val="1"/>
      <w:tblStyleColBandSize w:val="1"/>
      <w:tblInd w:w="0" w:type="dxa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79" w:customStyle="1">
    <w:name w:val="List Table 4 - Accent 2"/>
    <w:uiPriority w:val="99"/>
    <w:tblPr>
      <w:tblStyleRowBandSize w:val="1"/>
      <w:tblStyleColBandSize w:val="1"/>
      <w:tblInd w:w="0" w:type="dxa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0" w:customStyle="1">
    <w:name w:val="List Table 4 - Accent 3"/>
    <w:uiPriority w:val="99"/>
    <w:tblPr>
      <w:tblStyleRowBandSize w:val="1"/>
      <w:tblStyleColBandSize w:val="1"/>
      <w:tblInd w:w="0" w:type="dxa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1" w:customStyle="1">
    <w:name w:val="List Table 4 - Accent 4"/>
    <w:uiPriority w:val="99"/>
    <w:tblPr>
      <w:tblStyleRowBandSize w:val="1"/>
      <w:tblStyleColBandSize w:val="1"/>
      <w:tblInd w:w="0" w:type="dxa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2" w:customStyle="1">
    <w:name w:val="List Table 4 - Accent 5"/>
    <w:uiPriority w:val="99"/>
    <w:tblPr>
      <w:tblStyleRowBandSize w:val="1"/>
      <w:tblStyleColBandSize w:val="1"/>
      <w:tblInd w:w="0" w:type="dxa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3" w:customStyle="1">
    <w:name w:val="List Table 4 - Accent 6"/>
    <w:uiPriority w:val="99"/>
    <w:tblPr>
      <w:tblStyleRowBandSize w:val="1"/>
      <w:tblStyleColBandSize w:val="1"/>
      <w:tblInd w:w="0" w:type="dxa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4">
    <w:name w:val="List Table 5 Dark"/>
    <w:uiPriority w:val="99"/>
    <w:tblPr>
      <w:tblStyleRowBandSize w:val="1"/>
      <w:tblStyleColBandSize w:val="1"/>
      <w:tblInd w:w="0" w:type="dxa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themeColor="text1" w:themeTint="80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f7f7f" w:themeColor="text1" w:themeTint="80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85" w:customStyle="1">
    <w:name w:val="List Table 5 Dark - Accent 1"/>
    <w:uiPriority w:val="99"/>
    <w:tblPr>
      <w:tblStyleRowBandSize w:val="1"/>
      <w:tblStyleColBandSize w:val="1"/>
      <w:tblInd w:w="0" w:type="dxa"/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  <w:shd w:val="clear" w:color="4f81bd" w:themeColor="accent1" w:fill="4f81bd" w:themeFill="accent1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4f81bd" w:themeColor="accent1" w:fill="4f81bd" w:themeFill="accent1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4f81bd" w:themeColor="accent1" w:fill="4f81bd" w:themeFill="accent1"/>
        <w:tcBorders>
          <w:top w:val="single" w:color="4F81BD" w:themeColor="accen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86" w:customStyle="1">
    <w:name w:val="List Table 5 Dark - Accent 2"/>
    <w:uiPriority w:val="99"/>
    <w:tblPr>
      <w:tblStyleRowBandSize w:val="1"/>
      <w:tblStyleColBandSize w:val="1"/>
      <w:tblInd w:w="0" w:type="dxa"/>
      <w:tblBorders>
        <w:top w:val="single" w:color="D99695" w:themeColor="accent2" w:themeTint="97" w:sz="32" w:space="0"/>
        <w:left w:val="single" w:color="D99695" w:themeColor="accent2" w:themeTint="97" w:sz="32" w:space="0"/>
        <w:bottom w:val="single" w:color="D99695" w:themeColor="accent2" w:themeTint="97" w:sz="32" w:space="0"/>
        <w:right w:val="single" w:color="D99695" w:themeColor="accent2" w:themeTint="97" w:sz="32" w:space="0"/>
      </w:tblBorders>
      <w:shd w:val="clear" w:color="d99695" w:themeColor="accent2" w:themeTint="97" w:fill="d99695" w:themeFill="accent2" w:themeFillTint="97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d99695" w:themeColor="accent2" w:themeTint="97" w:fill="d99695" w:themeFill="accent2" w:themeFillTint="97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D99695" w:themeColor="accent2" w:themeTint="97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D99695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87" w:customStyle="1">
    <w:name w:val="List Table 5 Dark - Accent 3"/>
    <w:uiPriority w:val="99"/>
    <w:tblPr>
      <w:tblStyleRowBandSize w:val="1"/>
      <w:tblStyleColBandSize w:val="1"/>
      <w:tblInd w:w="0" w:type="dxa"/>
      <w:tblBorders>
        <w:top w:val="single" w:color="C3D69B" w:themeColor="accent3" w:themeTint="98" w:sz="32" w:space="0"/>
        <w:left w:val="single" w:color="C3D69B" w:themeColor="accent3" w:themeTint="98" w:sz="32" w:space="0"/>
        <w:bottom w:val="single" w:color="C3D69B" w:themeColor="accent3" w:themeTint="98" w:sz="32" w:space="0"/>
        <w:right w:val="single" w:color="C3D69B" w:themeColor="accent3" w:themeTint="98" w:sz="32" w:space="0"/>
      </w:tblBorders>
      <w:shd w:val="clear" w:color="c3d69b" w:themeColor="accent3" w:themeTint="98" w:fill="c3d69b" w:themeFill="accent3" w:themeFillTint="98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c3d69b" w:themeColor="accent3" w:themeTint="98" w:fill="c3d69b" w:themeFill="accent3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C3D69B" w:themeColor="accent3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c3d69b" w:themeColor="accent3" w:themeTint="98" w:fill="c3d69b" w:themeFill="accent3" w:themeFillTint="98"/>
        <w:tcBorders>
          <w:top w:val="single" w:color="C3D69B" w:themeColor="accent3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3D69B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88" w:customStyle="1">
    <w:name w:val="List Table 5 Dark - Accent 4"/>
    <w:uiPriority w:val="99"/>
    <w:tblPr>
      <w:tblStyleRowBandSize w:val="1"/>
      <w:tblStyleColBandSize w:val="1"/>
      <w:tblInd w:w="0" w:type="dxa"/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  <w:shd w:val="clear" w:color="b2a1c6" w:themeColor="accent4" w:themeTint="9A" w:fill="b2a1c6" w:themeFill="accent4" w:themeFillTint="9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b2a1c6" w:themeColor="accent4" w:themeTint="9A" w:fill="b2a1c6" w:themeFill="accent4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B2A1C6" w:themeColor="accent4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B2A1C6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89" w:customStyle="1">
    <w:name w:val="List Table 5 Dark - Accent 5"/>
    <w:uiPriority w:val="99"/>
    <w:tblPr>
      <w:tblStyleRowBandSize w:val="1"/>
      <w:tblStyleColBandSize w:val="1"/>
      <w:tblInd w:w="0" w:type="dxa"/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  <w:shd w:val="clear" w:color="92ccdc" w:themeColor="accent5" w:themeTint="9A" w:fill="92ccdc" w:themeFill="accent5" w:themeFillTint="9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92ccdc" w:themeColor="accent5" w:themeTint="9A" w:fill="92ccdc" w:themeFill="accent5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92CCDC" w:themeColor="accent5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92ccdc" w:themeColor="accent5" w:themeTint="9A" w:fill="92ccdc" w:themeFill="accent5" w:themeFillTint="9A"/>
        <w:tcBorders>
          <w:top w:val="single" w:color="92CCDC" w:themeColor="accent5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92CCDC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90" w:customStyle="1">
    <w:name w:val="List Table 5 Dark - Accent 6"/>
    <w:uiPriority w:val="99"/>
    <w:tblPr>
      <w:tblStyleRowBandSize w:val="1"/>
      <w:tblStyleColBandSize w:val="1"/>
      <w:tblInd w:w="0" w:type="dxa"/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  <w:shd w:val="clear" w:color="fac090" w:themeColor="accent6" w:themeTint="98" w:fill="fac090" w:themeFill="accent6" w:themeFillTint="98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ac090" w:themeColor="accent6" w:themeTint="98" w:fill="fac090" w:themeFill="accent6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AC090" w:themeColor="accent6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ac090" w:themeColor="accent6" w:themeTint="98" w:fill="fac090" w:themeFill="accent6" w:themeFillTint="98"/>
        <w:tcBorders>
          <w:top w:val="single" w:color="FAC090" w:themeColor="accent6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AC09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91">
    <w:name w:val="List Table 6 Colorful"/>
    <w:uiPriority w:val="99"/>
    <w:tblPr>
      <w:tblStyleRowBandSize w:val="1"/>
      <w:tblStyleColBandSize w:val="1"/>
      <w:tblInd w:w="0" w:type="dxa"/>
      <w:tblBorders>
        <w:top w:val="single" w:color="7F7F7F" w:themeColor="text1" w:themeTint="80" w:sz="4" w:space="0"/>
        <w:bottom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892" w:customStyle="1">
    <w:name w:val="List Table 6 Colorful - Accent 1"/>
    <w:uiPriority w:val="99"/>
    <w:tblPr>
      <w:tblStyleRowBandSize w:val="1"/>
      <w:tblStyleColBandSize w:val="1"/>
      <w:tblInd w:w="0" w:type="dxa"/>
      <w:tblBorders>
        <w:top w:val="single" w:color="4F81BD" w:themeColor="accent1" w:sz="4" w:space="0"/>
        <w:bottom w:val="single" w:color="4F81BD" w:themeColor="accen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b/>
        <w:color w:val="2a4a71" w:themeColor="accent1" w:themeShade="95"/>
      </w:rPr>
    </w:tblStylePr>
    <w:tblStylePr w:type="firstRow">
      <w:rPr>
        <w:b/>
        <w:color w:val="2a4a71" w:themeColor="accent1" w:themeShade="95"/>
      </w:rPr>
      <w:tcPr>
        <w:tcBorders>
          <w:bottom w:val="single" w:color="4F81BD" w:themeColor="accent1" w:sz="4" w:space="0"/>
        </w:tcBorders>
      </w:tcPr>
    </w:tblStylePr>
    <w:tblStylePr w:type="lastCol">
      <w:rPr>
        <w:b/>
        <w:color w:val="2a4a71" w:themeColor="accent1" w:themeShade="95"/>
      </w:rPr>
    </w:tblStylePr>
    <w:tblStylePr w:type="lastRow">
      <w:rPr>
        <w:b/>
        <w:color w:val="2a4a71" w:themeColor="accent1" w:themeShade="95"/>
      </w:rPr>
      <w:tcPr>
        <w:tcBorders>
          <w:top w:val="single" w:color="4F81BD" w:themeColor="accent1" w:sz="4" w:space="0"/>
        </w:tcBorders>
      </w:tcPr>
    </w:tblStylePr>
  </w:style>
  <w:style w:type="table" w:styleId="893" w:customStyle="1">
    <w:name w:val="List Table 6 Colorful - Accent 2"/>
    <w:uiPriority w:val="99"/>
    <w:tblPr>
      <w:tblStyleRowBandSize w:val="1"/>
      <w:tblStyleColBandSize w:val="1"/>
      <w:tblInd w:w="0" w:type="dxa"/>
      <w:tblBorders>
        <w:top w:val="single" w:color="D99695" w:themeColor="accent2" w:themeTint="97" w:sz="4" w:space="0"/>
        <w:bottom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4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  <w:tcPr>
        <w:tcBorders>
          <w:top w:val="single" w:color="D99695" w:themeColor="accent2" w:themeTint="97" w:sz="4" w:space="0"/>
        </w:tcBorders>
      </w:tcPr>
    </w:tblStylePr>
  </w:style>
  <w:style w:type="table" w:styleId="894" w:customStyle="1">
    <w:name w:val="List Table 6 Colorful - Accent 3"/>
    <w:uiPriority w:val="99"/>
    <w:tblPr>
      <w:tblStyleRowBandSize w:val="1"/>
      <w:tblStyleColBandSize w:val="1"/>
      <w:tblInd w:w="0" w:type="dxa"/>
      <w:tblBorders>
        <w:top w:val="single" w:color="C3D69B" w:themeColor="accent3" w:themeTint="98" w:sz="4" w:space="0"/>
        <w:bottom w:val="single" w:color="C3D69B" w:themeColor="accent3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b/>
        <w:color w:val="c3d69b" w:themeColor="accent3" w:themeTint="98" w:themeShade="95"/>
      </w:rPr>
    </w:tblStylePr>
    <w:tblStylePr w:type="firstRow">
      <w:rPr>
        <w:b/>
        <w:color w:val="c3d69b" w:themeColor="accent3" w:themeTint="98" w:themeShade="95"/>
      </w:rPr>
      <w:tcPr>
        <w:tcBorders>
          <w:bottom w:val="single" w:color="C3D69B" w:themeColor="accent3" w:themeTint="98" w:sz="4" w:space="0"/>
        </w:tcBorders>
      </w:tcPr>
    </w:tblStylePr>
    <w:tblStylePr w:type="lastCol">
      <w:rPr>
        <w:b/>
        <w:color w:val="c3d69b" w:themeColor="accent3" w:themeTint="98" w:themeShade="95"/>
      </w:rPr>
    </w:tblStylePr>
    <w:tblStylePr w:type="lastRow">
      <w:rPr>
        <w:b/>
        <w:color w:val="c3d69b" w:themeColor="accent3" w:themeTint="98" w:themeShade="95"/>
      </w:rPr>
      <w:tcPr>
        <w:tcBorders>
          <w:top w:val="single" w:color="C3D69B" w:themeColor="accent3" w:themeTint="98" w:sz="4" w:space="0"/>
        </w:tcBorders>
      </w:tcPr>
    </w:tblStylePr>
  </w:style>
  <w:style w:type="table" w:styleId="895" w:customStyle="1">
    <w:name w:val="List Table 6 Colorful - Accent 4"/>
    <w:uiPriority w:val="99"/>
    <w:tblPr>
      <w:tblStyleRowBandSize w:val="1"/>
      <w:tblStyleColBandSize w:val="1"/>
      <w:tblInd w:w="0" w:type="dxa"/>
      <w:tblBorders>
        <w:top w:val="single" w:color="B2A1C6" w:themeColor="accent4" w:themeTint="9A" w:sz="4" w:space="0"/>
        <w:bottom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4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  <w:tcPr>
        <w:tcBorders>
          <w:top w:val="single" w:color="B2A1C6" w:themeColor="accent4" w:themeTint="9A" w:sz="4" w:space="0"/>
        </w:tcBorders>
      </w:tcPr>
    </w:tblStylePr>
  </w:style>
  <w:style w:type="table" w:styleId="896" w:customStyle="1">
    <w:name w:val="List Table 6 Colorful - Accent 5"/>
    <w:uiPriority w:val="99"/>
    <w:tblPr>
      <w:tblStyleRowBandSize w:val="1"/>
      <w:tblStyleColBandSize w:val="1"/>
      <w:tblInd w:w="0" w:type="dxa"/>
      <w:tblBorders>
        <w:top w:val="single" w:color="92CCDC" w:themeColor="accent5" w:themeTint="9A" w:sz="4" w:space="0"/>
        <w:bottom w:val="single" w:color="92CCDC" w:themeColor="accent5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b/>
        <w:color w:val="92ccdc" w:themeColor="accent5" w:themeTint="9A" w:themeShade="95"/>
      </w:rPr>
    </w:tblStylePr>
    <w:tblStylePr w:type="firstRow">
      <w:rPr>
        <w:b/>
        <w:color w:val="92ccdc" w:themeColor="accent5" w:themeTint="9A" w:themeShade="95"/>
      </w:rPr>
      <w:tcPr>
        <w:tcBorders>
          <w:bottom w:val="single" w:color="92CCDC" w:themeColor="accent5" w:themeTint="9A" w:sz="4" w:space="0"/>
        </w:tcBorders>
      </w:tcPr>
    </w:tblStylePr>
    <w:tblStylePr w:type="lastCol">
      <w:rPr>
        <w:b/>
        <w:color w:val="92ccdc" w:themeColor="accent5" w:themeTint="9A" w:themeShade="95"/>
      </w:rPr>
    </w:tblStylePr>
    <w:tblStylePr w:type="lastRow">
      <w:rPr>
        <w:b/>
        <w:color w:val="92ccdc" w:themeColor="accent5" w:themeTint="9A" w:themeShade="95"/>
      </w:rPr>
      <w:tcPr>
        <w:tcBorders>
          <w:top w:val="single" w:color="92CCDC" w:themeColor="accent5" w:themeTint="9A" w:sz="4" w:space="0"/>
        </w:tcBorders>
      </w:tcPr>
    </w:tblStylePr>
  </w:style>
  <w:style w:type="table" w:styleId="897" w:customStyle="1">
    <w:name w:val="List Table 6 Colorful - Accent 6"/>
    <w:uiPriority w:val="99"/>
    <w:tblPr>
      <w:tblStyleRowBandSize w:val="1"/>
      <w:tblStyleColBandSize w:val="1"/>
      <w:tblInd w:w="0" w:type="dxa"/>
      <w:tblBorders>
        <w:top w:val="single" w:color="FAC090" w:themeColor="accent6" w:themeTint="98" w:sz="4" w:space="0"/>
        <w:bottom w:val="single" w:color="FAC090" w:themeColor="accent6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b/>
        <w:color w:val="fac090" w:themeColor="accent6" w:themeTint="98" w:themeShade="95"/>
      </w:rPr>
    </w:tblStylePr>
    <w:tblStylePr w:type="firstRow">
      <w:rPr>
        <w:b/>
        <w:color w:val="fac090" w:themeColor="accent6" w:themeTint="98" w:themeShade="95"/>
      </w:rPr>
      <w:tcPr>
        <w:tcBorders>
          <w:bottom w:val="single" w:color="FAC090" w:themeColor="accent6" w:themeTint="98" w:sz="4" w:space="0"/>
        </w:tcBorders>
      </w:tcPr>
    </w:tblStylePr>
    <w:tblStylePr w:type="lastCol">
      <w:rPr>
        <w:b/>
        <w:color w:val="fac090" w:themeColor="accent6" w:themeTint="98" w:themeShade="95"/>
      </w:rPr>
    </w:tblStylePr>
    <w:tblStylePr w:type="lastRow">
      <w:rPr>
        <w:b/>
        <w:color w:val="fac090" w:themeColor="accent6" w:themeTint="98" w:themeShade="95"/>
      </w:rPr>
      <w:tcPr>
        <w:tcBorders>
          <w:top w:val="single" w:color="FAC090" w:themeColor="accent6" w:themeTint="98" w:sz="4" w:space="0"/>
        </w:tcBorders>
      </w:tcPr>
    </w:tblStylePr>
  </w:style>
  <w:style w:type="table" w:styleId="898">
    <w:name w:val="List Table 7 Colorful"/>
    <w:uiPriority w:val="99"/>
    <w:tblPr>
      <w:tblStyleRowBandSize w:val="1"/>
      <w:tblStyleColBandSize w:val="1"/>
      <w:tblInd w:w="0" w:type="dxa"/>
      <w:tblBorders>
        <w:right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99" w:customStyle="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color="4F81BD" w:themeColor="accen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rFonts w:ascii="Arial" w:hAnsi="Arial"/>
        <w:i/>
        <w:color w:val="2a4a71" w:themeColor="accent1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F81BD" w:themeColor="accent1" w:sz="4" w:space="0"/>
        </w:tcBorders>
      </w:tcPr>
    </w:tblStylePr>
    <w:tblStylePr w:type="fir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cPr>
        <w:shd w:val="clear" w:color="ffffff" w:fill="auto"/>
        <w:tcBorders>
          <w:top w:val="none" w:color="000000" w:sz="4" w:space="0"/>
          <w:left w:val="single" w:color="4F81BD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00" w:customStyle="1">
    <w:name w:val="List Table 7 Colorful - Accent 2"/>
    <w:uiPriority w:val="99"/>
    <w:tblPr>
      <w:tblStyleRowBandSize w:val="1"/>
      <w:tblStyleColBandSize w:val="1"/>
      <w:tblInd w:w="0" w:type="dxa"/>
      <w:tblBorders>
        <w:right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D99695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D99695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01" w:customStyle="1">
    <w:name w:val="List Table 7 Colorful - Accent 3"/>
    <w:uiPriority w:val="99"/>
    <w:tblPr>
      <w:tblStyleRowBandSize w:val="1"/>
      <w:tblStyleColBandSize w:val="1"/>
      <w:tblInd w:w="0" w:type="dxa"/>
      <w:tblBorders>
        <w:right w:val="single" w:color="C3D69B" w:themeColor="accent3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rFonts w:ascii="Arial" w:hAnsi="Arial"/>
        <w:i/>
        <w:color w:val="c3d69b" w:themeColor="accent3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C3D69B" w:themeColor="accent3" w:themeTint="98" w:sz="4" w:space="0"/>
        </w:tcBorders>
      </w:tcPr>
    </w:tblStylePr>
    <w:tblStylePr w:type="fir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C3D69B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C3D69B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C3D69B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02" w:customStyle="1">
    <w:name w:val="List Table 7 Colorful - Accent 4"/>
    <w:uiPriority w:val="99"/>
    <w:tblPr>
      <w:tblStyleRowBandSize w:val="1"/>
      <w:tblStyleColBandSize w:val="1"/>
      <w:tblInd w:w="0" w:type="dxa"/>
      <w:tblBorders>
        <w:right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B2A1C6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B2A1C6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03" w:customStyle="1">
    <w:name w:val="List Table 7 Colorful - Accent 5"/>
    <w:uiPriority w:val="99"/>
    <w:tblPr>
      <w:tblStyleRowBandSize w:val="1"/>
      <w:tblStyleColBandSize w:val="1"/>
      <w:tblInd w:w="0" w:type="dxa"/>
      <w:tblBorders>
        <w:right w:val="single" w:color="92CCDC" w:themeColor="accent5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rFonts w:ascii="Arial" w:hAnsi="Arial"/>
        <w:i/>
        <w:color w:val="92ccdc" w:themeColor="accent5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2CCDC" w:themeColor="accent5" w:themeTint="9A" w:sz="4" w:space="0"/>
        </w:tcBorders>
      </w:tcPr>
    </w:tblStylePr>
    <w:tblStylePr w:type="fir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2CCDC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92CCDC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92CCDC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04" w:customStyle="1">
    <w:name w:val="List Table 7 Colorful - Accent 6"/>
    <w:uiPriority w:val="99"/>
    <w:tblPr>
      <w:tblStyleRowBandSize w:val="1"/>
      <w:tblStyleColBandSize w:val="1"/>
      <w:tblInd w:w="0" w:type="dxa"/>
      <w:tblBorders>
        <w:right w:val="single" w:color="FAC090" w:themeColor="accent6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rFonts w:ascii="Arial" w:hAnsi="Arial"/>
        <w:i/>
        <w:color w:val="fac090" w:themeColor="accent6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AC090" w:themeColor="accent6" w:themeTint="98" w:sz="4" w:space="0"/>
        </w:tcBorders>
      </w:tcPr>
    </w:tblStylePr>
    <w:tblStylePr w:type="fir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AC09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FAC09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FAC09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05" w:customStyle="1">
    <w:name w:val="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906" w:customStyle="1">
    <w:name w:val="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907" w:customStyle="1">
    <w:name w:val="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908" w:customStyle="1">
    <w:name w:val="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909" w:customStyle="1">
    <w:name w:val="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910" w:customStyle="1">
    <w:name w:val="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911" w:customStyle="1">
    <w:name w:val="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912" w:customStyle="1">
    <w:name w:val="Bordered &amp; 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913" w:customStyle="1">
    <w:name w:val="Bordered &amp; 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2A4A71" w:themeColor="accent1" w:themeShade="95" w:sz="4" w:space="0"/>
        <w:left w:val="single" w:color="2A4A71" w:themeColor="accent1" w:themeShade="95" w:sz="4" w:space="0"/>
        <w:bottom w:val="single" w:color="2A4A71" w:themeColor="accent1" w:themeShade="95" w:sz="4" w:space="0"/>
        <w:right w:val="single" w:color="2A4A71" w:themeColor="accent1" w:themeShade="95" w:sz="4" w:space="0"/>
        <w:insideH w:val="single" w:color="2A4A71" w:themeColor="accent1" w:themeShade="95" w:sz="4" w:space="0"/>
        <w:insideV w:val="single" w:color="2A4A71" w:themeColor="accent1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914" w:customStyle="1">
    <w:name w:val="Bordered &amp; 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732A29" w:themeColor="accent2" w:themeShade="95" w:sz="4" w:space="0"/>
        <w:left w:val="single" w:color="732A29" w:themeColor="accent2" w:themeShade="95" w:sz="4" w:space="0"/>
        <w:bottom w:val="single" w:color="732A29" w:themeColor="accent2" w:themeShade="95" w:sz="4" w:space="0"/>
        <w:right w:val="single" w:color="732A29" w:themeColor="accent2" w:themeShade="95" w:sz="4" w:space="0"/>
        <w:insideH w:val="single" w:color="732A29" w:themeColor="accent2" w:themeShade="95" w:sz="4" w:space="0"/>
        <w:insideV w:val="single" w:color="732A29" w:themeColor="accent2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915" w:customStyle="1">
    <w:name w:val="Bordered &amp; 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5B722E" w:themeColor="accent3" w:themeShade="95" w:sz="4" w:space="0"/>
        <w:left w:val="single" w:color="5B722E" w:themeColor="accent3" w:themeShade="95" w:sz="4" w:space="0"/>
        <w:bottom w:val="single" w:color="5B722E" w:themeColor="accent3" w:themeShade="95" w:sz="4" w:space="0"/>
        <w:right w:val="single" w:color="5B722E" w:themeColor="accent3" w:themeShade="95" w:sz="4" w:space="0"/>
        <w:insideH w:val="single" w:color="5B722E" w:themeColor="accent3" w:themeShade="95" w:sz="4" w:space="0"/>
        <w:insideV w:val="single" w:color="5B722E" w:themeColor="accent3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916" w:customStyle="1">
    <w:name w:val="Bordered &amp; 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4A395F" w:themeColor="accent4" w:themeShade="95" w:sz="4" w:space="0"/>
        <w:left w:val="single" w:color="4A395F" w:themeColor="accent4" w:themeShade="95" w:sz="4" w:space="0"/>
        <w:bottom w:val="single" w:color="4A395F" w:themeColor="accent4" w:themeShade="95" w:sz="4" w:space="0"/>
        <w:right w:val="single" w:color="4A395F" w:themeColor="accent4" w:themeShade="95" w:sz="4" w:space="0"/>
        <w:insideH w:val="single" w:color="4A395F" w:themeColor="accent4" w:themeShade="95" w:sz="4" w:space="0"/>
        <w:insideV w:val="single" w:color="4A395F" w:themeColor="accent4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917" w:customStyle="1">
    <w:name w:val="Bordered &amp; 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266779" w:themeColor="accent5" w:themeShade="95" w:sz="4" w:space="0"/>
        <w:left w:val="single" w:color="266779" w:themeColor="accent5" w:themeShade="95" w:sz="4" w:space="0"/>
        <w:bottom w:val="single" w:color="266779" w:themeColor="accent5" w:themeShade="95" w:sz="4" w:space="0"/>
        <w:right w:val="single" w:color="266779" w:themeColor="accent5" w:themeShade="95" w:sz="4" w:space="0"/>
        <w:insideH w:val="single" w:color="266779" w:themeColor="accent5" w:themeShade="95" w:sz="4" w:space="0"/>
        <w:insideV w:val="single" w:color="266779" w:themeColor="accent5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918" w:customStyle="1">
    <w:name w:val="Bordered &amp; 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B15407" w:themeColor="accent6" w:themeShade="95" w:sz="4" w:space="0"/>
        <w:left w:val="single" w:color="B15407" w:themeColor="accent6" w:themeShade="95" w:sz="4" w:space="0"/>
        <w:bottom w:val="single" w:color="B15407" w:themeColor="accent6" w:themeShade="95" w:sz="4" w:space="0"/>
        <w:right w:val="single" w:color="B15407" w:themeColor="accent6" w:themeShade="95" w:sz="4" w:space="0"/>
        <w:insideH w:val="single" w:color="B15407" w:themeColor="accent6" w:themeShade="95" w:sz="4" w:space="0"/>
        <w:insideV w:val="single" w:color="B15407" w:themeColor="accent6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919" w:customStyle="1">
    <w:name w:val="Bordered"/>
    <w:uiPriority w:val="99"/>
    <w:tblPr>
      <w:tblStyleRowBandSize w:val="1"/>
      <w:tblStyleColBandSize w:val="1"/>
      <w:tblInd w:w="0" w:type="dxa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F7F7F" w:themeColor="text1" w:themeTint="80" w:sz="12" w:space="0"/>
        </w:tcBorders>
      </w:tcPr>
    </w:tblStylePr>
  </w:style>
  <w:style w:type="table" w:styleId="920" w:customStyle="1">
    <w:name w:val="Bordered - Accent 1"/>
    <w:uiPriority w:val="99"/>
    <w:tblPr>
      <w:tblStyleRowBandSize w:val="1"/>
      <w:tblStyleColBandSize w:val="1"/>
      <w:tblInd w:w="0" w:type="dxa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4F81BD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4F81BD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4F81BD" w:themeColor="accent1" w:sz="12" w:space="0"/>
        </w:tcBorders>
      </w:tcPr>
    </w:tblStylePr>
  </w:style>
  <w:style w:type="table" w:styleId="921" w:customStyle="1">
    <w:name w:val="Bordered - Accent 2"/>
    <w:uiPriority w:val="99"/>
    <w:tblPr>
      <w:tblStyleRowBandSize w:val="1"/>
      <w:tblStyleColBandSize w:val="1"/>
      <w:tblInd w:w="0" w:type="dxa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D99695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D99695" w:themeColor="accent2" w:themeTint="97" w:sz="12" w:space="0"/>
        </w:tcBorders>
      </w:tcPr>
    </w:tblStylePr>
  </w:style>
  <w:style w:type="table" w:styleId="922" w:customStyle="1">
    <w:name w:val="Bordered - Accent 3"/>
    <w:uiPriority w:val="99"/>
    <w:tblPr>
      <w:tblStyleRowBandSize w:val="1"/>
      <w:tblStyleColBandSize w:val="1"/>
      <w:tblInd w:w="0" w:type="dxa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C3D69B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3D69B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3D69B" w:themeColor="accent3" w:themeTint="98" w:sz="12" w:space="0"/>
        </w:tcBorders>
      </w:tcPr>
    </w:tblStylePr>
  </w:style>
  <w:style w:type="table" w:styleId="923" w:customStyle="1">
    <w:name w:val="Bordered - Accent 4"/>
    <w:uiPriority w:val="99"/>
    <w:tblPr>
      <w:tblStyleRowBandSize w:val="1"/>
      <w:tblStyleColBandSize w:val="1"/>
      <w:tblInd w:w="0" w:type="dxa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B2A1C6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B2A1C6" w:themeColor="accent4" w:themeTint="9A" w:sz="12" w:space="0"/>
        </w:tcBorders>
      </w:tcPr>
    </w:tblStylePr>
  </w:style>
  <w:style w:type="table" w:styleId="924" w:customStyle="1">
    <w:name w:val="Bordered - Accent 5"/>
    <w:uiPriority w:val="99"/>
    <w:tblPr>
      <w:tblStyleRowBandSize w:val="1"/>
      <w:tblStyleColBandSize w:val="1"/>
      <w:tblInd w:w="0" w:type="dxa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92CCDC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92CCDC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92CCDC" w:themeColor="accent5" w:themeTint="9A" w:sz="12" w:space="0"/>
        </w:tcBorders>
      </w:tcPr>
    </w:tblStylePr>
  </w:style>
  <w:style w:type="table" w:styleId="925" w:customStyle="1">
    <w:name w:val="Bordered - Accent 6"/>
    <w:uiPriority w:val="99"/>
    <w:tblPr>
      <w:tblStyleRowBandSize w:val="1"/>
      <w:tblStyleColBandSize w:val="1"/>
      <w:tblInd w:w="0" w:type="dxa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AC09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AC09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AC090" w:themeColor="accent6" w:themeTint="98" w:sz="12" w:space="0"/>
        </w:tcBorders>
      </w:tcPr>
    </w:tblStylePr>
  </w:style>
  <w:style w:type="character" w:styleId="926">
    <w:name w:val="Hyperlink"/>
    <w:uiPriority w:val="99"/>
    <w:unhideWhenUsed/>
    <w:rPr>
      <w:color w:val="0000ff" w:themeColor="hyperlink"/>
      <w:u w:val="single"/>
    </w:rPr>
  </w:style>
  <w:style w:type="paragraph" w:styleId="927">
    <w:name w:val="footnote text"/>
    <w:basedOn w:val="749"/>
    <w:link w:val="928"/>
    <w:uiPriority w:val="99"/>
    <w:semiHidden/>
    <w:unhideWhenUsed/>
    <w:pPr>
      <w:spacing w:after="40" w:line="240" w:lineRule="auto"/>
    </w:pPr>
    <w:rPr>
      <w:sz w:val="18"/>
    </w:rPr>
  </w:style>
  <w:style w:type="character" w:styleId="928" w:customStyle="1">
    <w:name w:val="Текст сноски Знак"/>
    <w:link w:val="927"/>
    <w:uiPriority w:val="99"/>
    <w:rPr>
      <w:sz w:val="18"/>
    </w:rPr>
  </w:style>
  <w:style w:type="character" w:styleId="929">
    <w:name w:val="footnote reference"/>
    <w:uiPriority w:val="99"/>
    <w:unhideWhenUsed/>
    <w:rPr>
      <w:vertAlign w:val="superscript"/>
    </w:rPr>
  </w:style>
  <w:style w:type="paragraph" w:styleId="930">
    <w:name w:val="endnote text"/>
    <w:basedOn w:val="749"/>
    <w:link w:val="931"/>
    <w:uiPriority w:val="99"/>
    <w:semiHidden/>
    <w:unhideWhenUsed/>
    <w:pPr>
      <w:spacing w:after="0" w:line="240" w:lineRule="auto"/>
    </w:pPr>
    <w:rPr>
      <w:sz w:val="20"/>
    </w:rPr>
  </w:style>
  <w:style w:type="character" w:styleId="931" w:customStyle="1">
    <w:name w:val="Текст концевой сноски Знак"/>
    <w:link w:val="930"/>
    <w:uiPriority w:val="99"/>
    <w:rPr>
      <w:sz w:val="20"/>
    </w:rPr>
  </w:style>
  <w:style w:type="character" w:styleId="932">
    <w:name w:val="endnote reference"/>
    <w:uiPriority w:val="99"/>
    <w:semiHidden/>
    <w:unhideWhenUsed/>
    <w:rPr>
      <w:vertAlign w:val="superscript"/>
    </w:rPr>
  </w:style>
  <w:style w:type="paragraph" w:styleId="933">
    <w:name w:val="toc 1"/>
    <w:basedOn w:val="749"/>
    <w:next w:val="749"/>
    <w:uiPriority w:val="39"/>
    <w:unhideWhenUsed/>
    <w:pPr>
      <w:spacing w:after="57"/>
    </w:pPr>
  </w:style>
  <w:style w:type="paragraph" w:styleId="934">
    <w:name w:val="toc 2"/>
    <w:basedOn w:val="749"/>
    <w:next w:val="749"/>
    <w:uiPriority w:val="39"/>
    <w:unhideWhenUsed/>
    <w:pPr>
      <w:ind w:left="283"/>
      <w:spacing w:after="57"/>
    </w:pPr>
  </w:style>
  <w:style w:type="paragraph" w:styleId="935">
    <w:name w:val="toc 3"/>
    <w:basedOn w:val="749"/>
    <w:next w:val="749"/>
    <w:uiPriority w:val="39"/>
    <w:unhideWhenUsed/>
    <w:pPr>
      <w:ind w:left="567"/>
      <w:spacing w:after="57"/>
    </w:pPr>
  </w:style>
  <w:style w:type="paragraph" w:styleId="936">
    <w:name w:val="toc 4"/>
    <w:basedOn w:val="749"/>
    <w:next w:val="749"/>
    <w:uiPriority w:val="39"/>
    <w:unhideWhenUsed/>
    <w:pPr>
      <w:ind w:left="850"/>
      <w:spacing w:after="57"/>
    </w:pPr>
  </w:style>
  <w:style w:type="paragraph" w:styleId="937">
    <w:name w:val="toc 5"/>
    <w:basedOn w:val="749"/>
    <w:next w:val="749"/>
    <w:uiPriority w:val="39"/>
    <w:unhideWhenUsed/>
    <w:pPr>
      <w:ind w:left="1134"/>
      <w:spacing w:after="57"/>
    </w:pPr>
  </w:style>
  <w:style w:type="paragraph" w:styleId="938">
    <w:name w:val="toc 6"/>
    <w:basedOn w:val="749"/>
    <w:next w:val="749"/>
    <w:uiPriority w:val="39"/>
    <w:unhideWhenUsed/>
    <w:pPr>
      <w:ind w:left="1417"/>
      <w:spacing w:after="57"/>
    </w:pPr>
  </w:style>
  <w:style w:type="paragraph" w:styleId="939">
    <w:name w:val="toc 7"/>
    <w:basedOn w:val="749"/>
    <w:next w:val="749"/>
    <w:uiPriority w:val="39"/>
    <w:unhideWhenUsed/>
    <w:pPr>
      <w:ind w:left="1701"/>
      <w:spacing w:after="57"/>
    </w:pPr>
  </w:style>
  <w:style w:type="paragraph" w:styleId="940">
    <w:name w:val="toc 8"/>
    <w:basedOn w:val="749"/>
    <w:next w:val="749"/>
    <w:uiPriority w:val="39"/>
    <w:unhideWhenUsed/>
    <w:pPr>
      <w:ind w:left="1984"/>
      <w:spacing w:after="57"/>
    </w:pPr>
  </w:style>
  <w:style w:type="paragraph" w:styleId="941">
    <w:name w:val="toc 9"/>
    <w:basedOn w:val="749"/>
    <w:next w:val="749"/>
    <w:uiPriority w:val="39"/>
    <w:unhideWhenUsed/>
    <w:pPr>
      <w:ind w:left="2268"/>
      <w:spacing w:after="57"/>
    </w:pPr>
  </w:style>
  <w:style w:type="paragraph" w:styleId="942">
    <w:name w:val="TOC Heading"/>
    <w:uiPriority w:val="39"/>
    <w:unhideWhenUsed/>
  </w:style>
  <w:style w:type="paragraph" w:styleId="943">
    <w:name w:val="table of figures"/>
    <w:basedOn w:val="749"/>
    <w:next w:val="749"/>
    <w:uiPriority w:val="99"/>
    <w:unhideWhenUsed/>
    <w:pPr>
      <w:spacing w:after="0"/>
    </w:pPr>
  </w:style>
  <w:style w:type="paragraph" w:styleId="944" w:customStyle="1">
    <w:name w:val="Default"/>
    <w:pPr>
      <w:widowControl w:val="off"/>
    </w:pPr>
    <w:rPr>
      <w:rFonts w:ascii="Times New Roman" w:hAnsi="Times New Roman"/>
      <w:color w:val="000000"/>
      <w:sz w:val="24"/>
      <w:szCs w:val="24"/>
      <w:lang w:eastAsia="ru-RU"/>
    </w:rPr>
  </w:style>
  <w:style w:type="paragraph" w:styleId="945" w:customStyle="1">
    <w:name w:val="CM67"/>
    <w:basedOn w:val="944"/>
    <w:next w:val="944"/>
    <w:uiPriority w:val="99"/>
    <w:pPr>
      <w:spacing w:after="135"/>
    </w:pPr>
  </w:style>
  <w:style w:type="paragraph" w:styleId="946" w:customStyle="1">
    <w:name w:val="CM66"/>
    <w:basedOn w:val="944"/>
    <w:next w:val="944"/>
    <w:pPr>
      <w:spacing w:after="240"/>
    </w:pPr>
  </w:style>
  <w:style w:type="paragraph" w:styleId="947" w:customStyle="1">
    <w:name w:val="CM1"/>
    <w:basedOn w:val="944"/>
    <w:next w:val="944"/>
    <w:uiPriority w:val="99"/>
    <w:pPr>
      <w:spacing w:line="240" w:lineRule="atLeast"/>
    </w:pPr>
  </w:style>
  <w:style w:type="paragraph" w:styleId="948" w:customStyle="1">
    <w:name w:val="CM2"/>
    <w:basedOn w:val="944"/>
    <w:next w:val="944"/>
    <w:uiPriority w:val="99"/>
    <w:pPr>
      <w:spacing w:line="240" w:lineRule="atLeast"/>
    </w:pPr>
  </w:style>
  <w:style w:type="paragraph" w:styleId="949" w:customStyle="1">
    <w:name w:val="CM4"/>
    <w:basedOn w:val="944"/>
    <w:next w:val="944"/>
    <w:uiPriority w:val="99"/>
  </w:style>
  <w:style w:type="paragraph" w:styleId="950" w:customStyle="1">
    <w:name w:val="CM6"/>
    <w:basedOn w:val="944"/>
    <w:next w:val="944"/>
    <w:uiPriority w:val="99"/>
  </w:style>
  <w:style w:type="paragraph" w:styleId="951" w:customStyle="1">
    <w:name w:val="CM7"/>
    <w:basedOn w:val="944"/>
    <w:next w:val="944"/>
    <w:uiPriority w:val="99"/>
    <w:pPr>
      <w:spacing w:line="240" w:lineRule="atLeast"/>
    </w:pPr>
  </w:style>
  <w:style w:type="paragraph" w:styleId="952" w:customStyle="1">
    <w:name w:val="CM9"/>
    <w:basedOn w:val="944"/>
    <w:next w:val="944"/>
    <w:uiPriority w:val="99"/>
    <w:pPr>
      <w:spacing w:line="240" w:lineRule="atLeast"/>
    </w:pPr>
  </w:style>
  <w:style w:type="paragraph" w:styleId="953" w:customStyle="1">
    <w:name w:val="CM11"/>
    <w:basedOn w:val="944"/>
    <w:next w:val="944"/>
    <w:uiPriority w:val="99"/>
    <w:pPr>
      <w:spacing w:line="240" w:lineRule="atLeast"/>
    </w:pPr>
  </w:style>
  <w:style w:type="paragraph" w:styleId="954" w:customStyle="1">
    <w:name w:val="CM12"/>
    <w:basedOn w:val="944"/>
    <w:next w:val="944"/>
    <w:uiPriority w:val="99"/>
    <w:pPr>
      <w:spacing w:line="240" w:lineRule="atLeast"/>
    </w:pPr>
  </w:style>
  <w:style w:type="paragraph" w:styleId="955" w:customStyle="1">
    <w:name w:val="CM13"/>
    <w:basedOn w:val="944"/>
    <w:next w:val="944"/>
    <w:uiPriority w:val="99"/>
    <w:pPr>
      <w:spacing w:line="240" w:lineRule="atLeast"/>
    </w:pPr>
  </w:style>
  <w:style w:type="paragraph" w:styleId="956" w:customStyle="1">
    <w:name w:val="CM14"/>
    <w:basedOn w:val="944"/>
    <w:next w:val="944"/>
    <w:uiPriority w:val="99"/>
    <w:pPr>
      <w:spacing w:line="240" w:lineRule="atLeast"/>
    </w:pPr>
  </w:style>
  <w:style w:type="paragraph" w:styleId="957" w:customStyle="1">
    <w:name w:val="CM15"/>
    <w:basedOn w:val="944"/>
    <w:next w:val="944"/>
    <w:uiPriority w:val="99"/>
    <w:pPr>
      <w:spacing w:line="240" w:lineRule="atLeast"/>
    </w:pPr>
  </w:style>
  <w:style w:type="paragraph" w:styleId="958" w:customStyle="1">
    <w:name w:val="CM16"/>
    <w:basedOn w:val="944"/>
    <w:next w:val="944"/>
    <w:uiPriority w:val="99"/>
    <w:pPr>
      <w:spacing w:line="240" w:lineRule="atLeast"/>
    </w:pPr>
  </w:style>
  <w:style w:type="paragraph" w:styleId="959" w:customStyle="1">
    <w:name w:val="CM17"/>
    <w:basedOn w:val="944"/>
    <w:next w:val="944"/>
    <w:uiPriority w:val="99"/>
    <w:pPr>
      <w:spacing w:line="240" w:lineRule="atLeast"/>
    </w:pPr>
  </w:style>
  <w:style w:type="paragraph" w:styleId="960" w:customStyle="1">
    <w:name w:val="CM18"/>
    <w:basedOn w:val="944"/>
    <w:next w:val="944"/>
    <w:uiPriority w:val="99"/>
    <w:pPr>
      <w:spacing w:line="240" w:lineRule="atLeast"/>
    </w:pPr>
  </w:style>
  <w:style w:type="paragraph" w:styleId="961" w:customStyle="1">
    <w:name w:val="CM19"/>
    <w:basedOn w:val="944"/>
    <w:next w:val="944"/>
    <w:pPr>
      <w:spacing w:line="240" w:lineRule="atLeast"/>
    </w:pPr>
  </w:style>
  <w:style w:type="paragraph" w:styleId="962" w:customStyle="1">
    <w:name w:val="CM20"/>
    <w:basedOn w:val="944"/>
    <w:next w:val="944"/>
    <w:pPr>
      <w:spacing w:line="240" w:lineRule="atLeast"/>
    </w:pPr>
  </w:style>
  <w:style w:type="paragraph" w:styleId="963" w:customStyle="1">
    <w:name w:val="CM22"/>
    <w:basedOn w:val="944"/>
    <w:next w:val="944"/>
    <w:pPr>
      <w:spacing w:line="240" w:lineRule="atLeast"/>
    </w:pPr>
  </w:style>
  <w:style w:type="paragraph" w:styleId="964" w:customStyle="1">
    <w:name w:val="CM21"/>
    <w:basedOn w:val="944"/>
    <w:next w:val="944"/>
    <w:uiPriority w:val="99"/>
    <w:pPr>
      <w:spacing w:line="240" w:lineRule="atLeast"/>
    </w:pPr>
  </w:style>
  <w:style w:type="paragraph" w:styleId="965" w:customStyle="1">
    <w:name w:val="CM23"/>
    <w:basedOn w:val="944"/>
    <w:next w:val="944"/>
    <w:uiPriority w:val="99"/>
    <w:pPr>
      <w:spacing w:line="240" w:lineRule="atLeast"/>
    </w:pPr>
  </w:style>
  <w:style w:type="paragraph" w:styleId="966" w:customStyle="1">
    <w:name w:val="CM24"/>
    <w:basedOn w:val="944"/>
    <w:next w:val="944"/>
    <w:uiPriority w:val="99"/>
    <w:pPr>
      <w:spacing w:line="240" w:lineRule="atLeast"/>
    </w:pPr>
  </w:style>
  <w:style w:type="paragraph" w:styleId="967" w:customStyle="1">
    <w:name w:val="CM25"/>
    <w:basedOn w:val="944"/>
    <w:next w:val="944"/>
    <w:uiPriority w:val="99"/>
    <w:pPr>
      <w:spacing w:line="240" w:lineRule="atLeast"/>
    </w:pPr>
  </w:style>
  <w:style w:type="paragraph" w:styleId="968" w:customStyle="1">
    <w:name w:val="CM26"/>
    <w:basedOn w:val="944"/>
    <w:next w:val="944"/>
    <w:pPr>
      <w:spacing w:line="240" w:lineRule="atLeast"/>
    </w:pPr>
  </w:style>
  <w:style w:type="paragraph" w:styleId="969" w:customStyle="1">
    <w:name w:val="CM27"/>
    <w:basedOn w:val="944"/>
    <w:next w:val="944"/>
    <w:uiPriority w:val="99"/>
    <w:pPr>
      <w:spacing w:line="240" w:lineRule="atLeast"/>
    </w:pPr>
  </w:style>
  <w:style w:type="paragraph" w:styleId="970" w:customStyle="1">
    <w:name w:val="CM28"/>
    <w:basedOn w:val="944"/>
    <w:next w:val="944"/>
    <w:uiPriority w:val="99"/>
    <w:pPr>
      <w:spacing w:line="240" w:lineRule="atLeast"/>
    </w:pPr>
  </w:style>
  <w:style w:type="paragraph" w:styleId="971" w:customStyle="1">
    <w:name w:val="CM29"/>
    <w:basedOn w:val="944"/>
    <w:next w:val="944"/>
    <w:uiPriority w:val="99"/>
    <w:pPr>
      <w:spacing w:line="240" w:lineRule="atLeast"/>
    </w:pPr>
  </w:style>
  <w:style w:type="paragraph" w:styleId="972" w:customStyle="1">
    <w:name w:val="CM30"/>
    <w:basedOn w:val="944"/>
    <w:next w:val="944"/>
    <w:uiPriority w:val="99"/>
    <w:pPr>
      <w:spacing w:line="240" w:lineRule="atLeast"/>
    </w:pPr>
  </w:style>
  <w:style w:type="paragraph" w:styleId="973" w:customStyle="1">
    <w:name w:val="CM68"/>
    <w:basedOn w:val="944"/>
    <w:next w:val="944"/>
    <w:uiPriority w:val="99"/>
    <w:pPr>
      <w:spacing w:after="405"/>
    </w:pPr>
  </w:style>
  <w:style w:type="paragraph" w:styleId="974" w:customStyle="1">
    <w:name w:val="CM69"/>
    <w:basedOn w:val="944"/>
    <w:next w:val="944"/>
    <w:uiPriority w:val="99"/>
    <w:pPr>
      <w:spacing w:after="180"/>
    </w:pPr>
  </w:style>
  <w:style w:type="paragraph" w:styleId="975" w:customStyle="1">
    <w:name w:val="CM70"/>
    <w:basedOn w:val="944"/>
    <w:next w:val="944"/>
    <w:uiPriority w:val="99"/>
    <w:pPr>
      <w:spacing w:after="95"/>
    </w:pPr>
  </w:style>
  <w:style w:type="paragraph" w:styleId="976" w:customStyle="1">
    <w:name w:val="CM32"/>
    <w:basedOn w:val="944"/>
    <w:next w:val="944"/>
    <w:uiPriority w:val="99"/>
  </w:style>
  <w:style w:type="paragraph" w:styleId="977" w:customStyle="1">
    <w:name w:val="CM33"/>
    <w:basedOn w:val="944"/>
    <w:next w:val="944"/>
    <w:uiPriority w:val="99"/>
    <w:pPr>
      <w:spacing w:line="180" w:lineRule="atLeast"/>
    </w:pPr>
  </w:style>
  <w:style w:type="paragraph" w:styleId="978" w:customStyle="1">
    <w:name w:val="CM34"/>
    <w:basedOn w:val="944"/>
    <w:next w:val="944"/>
    <w:uiPriority w:val="99"/>
    <w:pPr>
      <w:spacing w:line="180" w:lineRule="atLeast"/>
    </w:pPr>
  </w:style>
  <w:style w:type="paragraph" w:styleId="979" w:customStyle="1">
    <w:name w:val="CM35"/>
    <w:basedOn w:val="944"/>
    <w:next w:val="944"/>
    <w:uiPriority w:val="99"/>
    <w:pPr>
      <w:spacing w:line="180" w:lineRule="atLeast"/>
    </w:pPr>
  </w:style>
  <w:style w:type="paragraph" w:styleId="980" w:customStyle="1">
    <w:name w:val="CM36"/>
    <w:basedOn w:val="944"/>
    <w:next w:val="944"/>
    <w:uiPriority w:val="99"/>
    <w:pPr>
      <w:spacing w:line="180" w:lineRule="atLeast"/>
    </w:pPr>
  </w:style>
  <w:style w:type="paragraph" w:styleId="981" w:customStyle="1">
    <w:name w:val="CM37"/>
    <w:basedOn w:val="944"/>
    <w:next w:val="944"/>
    <w:uiPriority w:val="99"/>
    <w:pPr>
      <w:spacing w:line="180" w:lineRule="atLeast"/>
    </w:pPr>
  </w:style>
  <w:style w:type="paragraph" w:styleId="982" w:customStyle="1">
    <w:name w:val="CM5"/>
    <w:basedOn w:val="944"/>
    <w:next w:val="944"/>
    <w:uiPriority w:val="99"/>
    <w:pPr>
      <w:spacing w:line="191" w:lineRule="atLeast"/>
    </w:pPr>
  </w:style>
  <w:style w:type="paragraph" w:styleId="983" w:customStyle="1">
    <w:name w:val="CM38"/>
    <w:basedOn w:val="944"/>
    <w:next w:val="944"/>
    <w:uiPriority w:val="99"/>
    <w:pPr>
      <w:spacing w:line="240" w:lineRule="atLeast"/>
    </w:pPr>
  </w:style>
  <w:style w:type="paragraph" w:styleId="984" w:customStyle="1">
    <w:name w:val="CM39"/>
    <w:basedOn w:val="944"/>
    <w:next w:val="944"/>
    <w:uiPriority w:val="99"/>
    <w:pPr>
      <w:spacing w:line="240" w:lineRule="atLeast"/>
    </w:pPr>
  </w:style>
  <w:style w:type="paragraph" w:styleId="985" w:customStyle="1">
    <w:name w:val="CM40"/>
    <w:basedOn w:val="944"/>
    <w:next w:val="944"/>
    <w:pPr>
      <w:spacing w:line="240" w:lineRule="atLeast"/>
    </w:pPr>
  </w:style>
  <w:style w:type="paragraph" w:styleId="986" w:customStyle="1">
    <w:name w:val="CM41"/>
    <w:basedOn w:val="944"/>
    <w:next w:val="944"/>
    <w:uiPriority w:val="99"/>
    <w:pPr>
      <w:spacing w:line="240" w:lineRule="atLeast"/>
    </w:pPr>
  </w:style>
  <w:style w:type="paragraph" w:styleId="987" w:customStyle="1">
    <w:name w:val="CM42"/>
    <w:basedOn w:val="944"/>
    <w:next w:val="944"/>
    <w:uiPriority w:val="99"/>
    <w:pPr>
      <w:spacing w:line="240" w:lineRule="atLeast"/>
    </w:pPr>
  </w:style>
  <w:style w:type="paragraph" w:styleId="988" w:customStyle="1">
    <w:name w:val="CM43"/>
    <w:basedOn w:val="944"/>
    <w:next w:val="944"/>
    <w:uiPriority w:val="99"/>
    <w:pPr>
      <w:spacing w:line="313" w:lineRule="atLeast"/>
    </w:pPr>
  </w:style>
  <w:style w:type="paragraph" w:styleId="989" w:customStyle="1">
    <w:name w:val="CM72"/>
    <w:basedOn w:val="944"/>
    <w:next w:val="944"/>
    <w:uiPriority w:val="99"/>
    <w:pPr>
      <w:spacing w:after="363"/>
    </w:pPr>
  </w:style>
  <w:style w:type="paragraph" w:styleId="990" w:customStyle="1">
    <w:name w:val="CM44"/>
    <w:basedOn w:val="944"/>
    <w:next w:val="944"/>
    <w:uiPriority w:val="99"/>
    <w:pPr>
      <w:spacing w:line="240" w:lineRule="atLeast"/>
    </w:pPr>
  </w:style>
  <w:style w:type="paragraph" w:styleId="991" w:customStyle="1">
    <w:name w:val="CM45"/>
    <w:basedOn w:val="944"/>
    <w:next w:val="944"/>
    <w:uiPriority w:val="99"/>
    <w:pPr>
      <w:spacing w:line="240" w:lineRule="atLeast"/>
    </w:pPr>
  </w:style>
  <w:style w:type="paragraph" w:styleId="992" w:customStyle="1">
    <w:name w:val="CM46"/>
    <w:basedOn w:val="944"/>
    <w:next w:val="944"/>
    <w:uiPriority w:val="99"/>
    <w:pPr>
      <w:spacing w:line="240" w:lineRule="atLeast"/>
    </w:pPr>
  </w:style>
  <w:style w:type="paragraph" w:styleId="993" w:customStyle="1">
    <w:name w:val="CM47"/>
    <w:basedOn w:val="944"/>
    <w:next w:val="944"/>
    <w:uiPriority w:val="99"/>
    <w:pPr>
      <w:spacing w:line="240" w:lineRule="atLeast"/>
    </w:pPr>
  </w:style>
  <w:style w:type="paragraph" w:styleId="994" w:customStyle="1">
    <w:name w:val="CM48"/>
    <w:basedOn w:val="944"/>
    <w:next w:val="944"/>
    <w:uiPriority w:val="99"/>
    <w:pPr>
      <w:spacing w:line="240" w:lineRule="atLeast"/>
    </w:pPr>
  </w:style>
  <w:style w:type="paragraph" w:styleId="995" w:customStyle="1">
    <w:name w:val="CM49"/>
    <w:basedOn w:val="944"/>
    <w:next w:val="944"/>
    <w:uiPriority w:val="99"/>
    <w:pPr>
      <w:spacing w:line="240" w:lineRule="atLeast"/>
    </w:pPr>
  </w:style>
  <w:style w:type="paragraph" w:styleId="996" w:customStyle="1">
    <w:name w:val="CM50"/>
    <w:basedOn w:val="944"/>
    <w:next w:val="944"/>
    <w:uiPriority w:val="99"/>
    <w:pPr>
      <w:spacing w:line="240" w:lineRule="atLeast"/>
    </w:pPr>
  </w:style>
  <w:style w:type="paragraph" w:styleId="997" w:customStyle="1">
    <w:name w:val="CM51"/>
    <w:basedOn w:val="944"/>
    <w:next w:val="944"/>
    <w:uiPriority w:val="99"/>
    <w:pPr>
      <w:spacing w:line="240" w:lineRule="atLeast"/>
    </w:pPr>
  </w:style>
  <w:style w:type="paragraph" w:styleId="998" w:customStyle="1">
    <w:name w:val="CM52"/>
    <w:basedOn w:val="944"/>
    <w:next w:val="944"/>
    <w:uiPriority w:val="99"/>
    <w:pPr>
      <w:spacing w:line="240" w:lineRule="atLeast"/>
    </w:pPr>
  </w:style>
  <w:style w:type="paragraph" w:styleId="999" w:customStyle="1">
    <w:name w:val="CM53"/>
    <w:basedOn w:val="944"/>
    <w:next w:val="944"/>
    <w:uiPriority w:val="99"/>
  </w:style>
  <w:style w:type="paragraph" w:styleId="1000" w:customStyle="1">
    <w:name w:val="CM31"/>
    <w:basedOn w:val="944"/>
    <w:next w:val="944"/>
    <w:uiPriority w:val="99"/>
    <w:pPr>
      <w:spacing w:line="240" w:lineRule="atLeast"/>
    </w:pPr>
  </w:style>
  <w:style w:type="paragraph" w:styleId="1001" w:customStyle="1">
    <w:name w:val="CM54"/>
    <w:basedOn w:val="944"/>
    <w:next w:val="944"/>
    <w:uiPriority w:val="99"/>
    <w:pPr>
      <w:spacing w:line="240" w:lineRule="atLeast"/>
    </w:pPr>
  </w:style>
  <w:style w:type="paragraph" w:styleId="1002" w:customStyle="1">
    <w:name w:val="CM55"/>
    <w:basedOn w:val="944"/>
    <w:next w:val="944"/>
    <w:uiPriority w:val="99"/>
    <w:pPr>
      <w:spacing w:line="240" w:lineRule="atLeast"/>
    </w:pPr>
  </w:style>
  <w:style w:type="paragraph" w:styleId="1003" w:customStyle="1">
    <w:name w:val="CM71"/>
    <w:basedOn w:val="944"/>
    <w:next w:val="944"/>
    <w:uiPriority w:val="99"/>
    <w:pPr>
      <w:spacing w:after="313"/>
    </w:pPr>
  </w:style>
  <w:style w:type="paragraph" w:styleId="1004" w:customStyle="1">
    <w:name w:val="CM56"/>
    <w:basedOn w:val="944"/>
    <w:next w:val="944"/>
    <w:uiPriority w:val="99"/>
    <w:pPr>
      <w:spacing w:line="240" w:lineRule="atLeast"/>
    </w:pPr>
  </w:style>
  <w:style w:type="paragraph" w:styleId="1005" w:customStyle="1">
    <w:name w:val="CM57"/>
    <w:basedOn w:val="944"/>
    <w:next w:val="944"/>
    <w:uiPriority w:val="99"/>
    <w:pPr>
      <w:spacing w:line="240" w:lineRule="atLeast"/>
    </w:pPr>
  </w:style>
  <w:style w:type="paragraph" w:styleId="1006" w:customStyle="1">
    <w:name w:val="CM58"/>
    <w:basedOn w:val="944"/>
    <w:next w:val="944"/>
    <w:uiPriority w:val="99"/>
    <w:pPr>
      <w:spacing w:line="240" w:lineRule="atLeast"/>
    </w:pPr>
  </w:style>
  <w:style w:type="paragraph" w:styleId="1007" w:customStyle="1">
    <w:name w:val="CM59"/>
    <w:basedOn w:val="944"/>
    <w:next w:val="944"/>
    <w:uiPriority w:val="99"/>
    <w:pPr>
      <w:spacing w:line="240" w:lineRule="atLeast"/>
    </w:pPr>
  </w:style>
  <w:style w:type="paragraph" w:styleId="1008" w:customStyle="1">
    <w:name w:val="CM60"/>
    <w:basedOn w:val="944"/>
    <w:next w:val="944"/>
    <w:uiPriority w:val="99"/>
    <w:pPr>
      <w:spacing w:line="240" w:lineRule="atLeast"/>
    </w:pPr>
  </w:style>
  <w:style w:type="paragraph" w:styleId="1009" w:customStyle="1">
    <w:name w:val="CM61"/>
    <w:basedOn w:val="944"/>
    <w:next w:val="944"/>
    <w:uiPriority w:val="99"/>
  </w:style>
  <w:style w:type="paragraph" w:styleId="1010" w:customStyle="1">
    <w:name w:val="CM62"/>
    <w:basedOn w:val="944"/>
    <w:next w:val="944"/>
    <w:uiPriority w:val="99"/>
    <w:pPr>
      <w:spacing w:line="240" w:lineRule="atLeast"/>
    </w:pPr>
  </w:style>
  <w:style w:type="paragraph" w:styleId="1011" w:customStyle="1">
    <w:name w:val="CM63"/>
    <w:basedOn w:val="944"/>
    <w:next w:val="944"/>
    <w:uiPriority w:val="99"/>
    <w:pPr>
      <w:spacing w:line="240" w:lineRule="atLeast"/>
    </w:pPr>
  </w:style>
  <w:style w:type="paragraph" w:styleId="1012" w:customStyle="1">
    <w:name w:val="CM64"/>
    <w:basedOn w:val="944"/>
    <w:next w:val="944"/>
    <w:pPr>
      <w:spacing w:line="240" w:lineRule="atLeast"/>
    </w:pPr>
  </w:style>
  <w:style w:type="paragraph" w:styleId="1013" w:customStyle="1">
    <w:name w:val="CM65"/>
    <w:basedOn w:val="944"/>
    <w:next w:val="944"/>
    <w:uiPriority w:val="99"/>
    <w:pPr>
      <w:spacing w:line="360" w:lineRule="atLeast"/>
    </w:pPr>
  </w:style>
  <w:style w:type="paragraph" w:styleId="1014" w:customStyle="1">
    <w:name w:val="Heading"/>
    <w:rPr>
      <w:rFonts w:ascii="Arial" w:hAnsi="Arial" w:cs="Arial"/>
      <w:b/>
      <w:bCs/>
      <w:sz w:val="22"/>
      <w:szCs w:val="22"/>
      <w:lang w:eastAsia="ru-RU"/>
    </w:rPr>
  </w:style>
  <w:style w:type="paragraph" w:styleId="1015">
    <w:name w:val="Body Text Indent 3"/>
    <w:basedOn w:val="749"/>
    <w:link w:val="1016"/>
    <w:uiPriority w:val="99"/>
    <w:pPr>
      <w:ind w:left="283"/>
      <w:spacing w:after="120" w:line="240" w:lineRule="auto"/>
    </w:pPr>
    <w:rPr>
      <w:rFonts w:ascii="Times New Roman" w:hAnsi="Times New Roman"/>
      <w:sz w:val="16"/>
      <w:szCs w:val="16"/>
      <w:lang w:val="en-US" w:eastAsia="en-US"/>
    </w:rPr>
  </w:style>
  <w:style w:type="character" w:styleId="1016" w:customStyle="1">
    <w:name w:val="Основной текст с отступом 3 Знак"/>
    <w:link w:val="1015"/>
    <w:uiPriority w:val="99"/>
    <w:rPr>
      <w:rFonts w:ascii="Times New Roman" w:hAnsi="Times New Roman" w:cs="Times New Roman"/>
      <w:sz w:val="16"/>
      <w:szCs w:val="16"/>
    </w:rPr>
  </w:style>
  <w:style w:type="paragraph" w:styleId="1017" w:customStyle="1">
    <w:name w:val="заголовок 1"/>
    <w:basedOn w:val="749"/>
    <w:next w:val="749"/>
    <w:pPr>
      <w:jc w:val="center"/>
      <w:keepNext/>
      <w:spacing w:after="0" w:line="240" w:lineRule="auto"/>
      <w:outlineLvl w:val="0"/>
    </w:pPr>
    <w:rPr>
      <w:rFonts w:ascii="Times New Roman" w:hAnsi="Times New Roman"/>
      <w:color w:val="000000"/>
      <w:sz w:val="24"/>
      <w:szCs w:val="24"/>
    </w:rPr>
  </w:style>
  <w:style w:type="paragraph" w:styleId="1018">
    <w:name w:val="Normal (Web)"/>
    <w:basedOn w:val="749"/>
    <w:uiPriority w:val="99"/>
    <w:pPr>
      <w:spacing w:before="30" w:after="30" w:line="240" w:lineRule="auto"/>
    </w:pPr>
    <w:rPr>
      <w:rFonts w:ascii="Arial" w:hAnsi="Arial" w:cs="Arial"/>
      <w:color w:val="332e2d"/>
      <w:spacing w:val="2"/>
      <w:sz w:val="24"/>
      <w:szCs w:val="24"/>
    </w:rPr>
  </w:style>
  <w:style w:type="paragraph" w:styleId="1019" w:customStyle="1">
    <w:name w:val="ConsNormal"/>
    <w:pPr>
      <w:ind w:firstLine="720"/>
      <w:widowControl w:val="off"/>
    </w:pPr>
    <w:rPr>
      <w:rFonts w:ascii="Arial" w:hAnsi="Arial" w:cs="Arial"/>
      <w:lang w:eastAsia="ru-RU"/>
    </w:rPr>
  </w:style>
  <w:style w:type="paragraph" w:styleId="1020" w:customStyle="1">
    <w:name w:val="Заголовок;Название;Название1"/>
    <w:basedOn w:val="749"/>
    <w:link w:val="1021"/>
    <w:qFormat/>
    <w:pPr>
      <w:jc w:val="center"/>
      <w:spacing w:after="0" w:line="240" w:lineRule="auto"/>
    </w:pPr>
    <w:rPr>
      <w:rFonts w:ascii="Times New Roman" w:hAnsi="Times New Roman"/>
      <w:b/>
      <w:sz w:val="20"/>
      <w:szCs w:val="20"/>
      <w:lang w:val="en-US" w:eastAsia="en-US"/>
    </w:rPr>
  </w:style>
  <w:style w:type="character" w:styleId="1021" w:customStyle="1">
    <w:name w:val="Название Знак"/>
    <w:link w:val="1020"/>
    <w:rPr>
      <w:rFonts w:ascii="Times New Roman" w:hAnsi="Times New Roman" w:cs="Times New Roman"/>
      <w:b/>
      <w:sz w:val="20"/>
      <w:szCs w:val="20"/>
    </w:rPr>
  </w:style>
  <w:style w:type="paragraph" w:styleId="1022" w:customStyle="1">
    <w:name w:val="Мой"/>
    <w:basedOn w:val="749"/>
    <w:pPr>
      <w:jc w:val="both"/>
      <w:spacing w:after="0" w:line="240" w:lineRule="auto"/>
    </w:pPr>
    <w:rPr>
      <w:rFonts w:ascii="Times New Roman" w:hAnsi="Times New Roman"/>
      <w:sz w:val="24"/>
      <w:szCs w:val="24"/>
    </w:rPr>
  </w:style>
  <w:style w:type="paragraph" w:styleId="1023">
    <w:name w:val="Plain Text"/>
    <w:basedOn w:val="749"/>
    <w:link w:val="1024"/>
    <w:semiHidden/>
    <w:unhideWhenUsed/>
    <w:pPr>
      <w:spacing w:after="0" w:line="240" w:lineRule="auto"/>
    </w:pPr>
    <w:rPr>
      <w:rFonts w:ascii="Consolas" w:hAnsi="Consolas"/>
      <w:sz w:val="21"/>
      <w:szCs w:val="21"/>
      <w:lang w:val="en-US" w:eastAsia="en-US"/>
    </w:rPr>
  </w:style>
  <w:style w:type="character" w:styleId="1024" w:customStyle="1">
    <w:name w:val="Текст Знак"/>
    <w:link w:val="1023"/>
    <w:semiHidden/>
    <w:rPr>
      <w:rFonts w:ascii="Consolas" w:hAnsi="Consolas" w:cs="Times New Roman"/>
      <w:sz w:val="21"/>
      <w:szCs w:val="21"/>
      <w:lang w:eastAsia="en-US"/>
    </w:rPr>
  </w:style>
  <w:style w:type="paragraph" w:styleId="1025" w:customStyle="1">
    <w:name w:val="consnormal"/>
    <w:pPr>
      <w:ind w:right="19772" w:firstLine="720"/>
    </w:pPr>
    <w:rPr>
      <w:rFonts w:ascii="Arial" w:hAnsi="Arial" w:cs="Arial"/>
      <w:sz w:val="22"/>
      <w:szCs w:val="22"/>
      <w:lang w:eastAsia="ru-RU"/>
    </w:rPr>
  </w:style>
  <w:style w:type="paragraph" w:styleId="1026">
    <w:name w:val="Balloon Text"/>
    <w:basedOn w:val="749"/>
    <w:link w:val="1027"/>
    <w:uiPriority w:val="99"/>
    <w:semiHidden/>
    <w:unhideWhenUsed/>
    <w:pPr>
      <w:spacing w:after="0" w:line="240" w:lineRule="auto"/>
    </w:pPr>
    <w:rPr>
      <w:rFonts w:ascii="Tahoma" w:hAnsi="Tahoma"/>
      <w:sz w:val="16"/>
      <w:szCs w:val="16"/>
      <w:lang w:val="en-US" w:eastAsia="en-US"/>
    </w:rPr>
  </w:style>
  <w:style w:type="character" w:styleId="1027" w:customStyle="1">
    <w:name w:val="Текст выноски Знак"/>
    <w:link w:val="1026"/>
    <w:uiPriority w:val="99"/>
    <w:semiHidden/>
    <w:rPr>
      <w:rFonts w:ascii="Tahoma" w:hAnsi="Tahoma" w:cs="Tahoma"/>
      <w:sz w:val="16"/>
      <w:szCs w:val="16"/>
    </w:rPr>
  </w:style>
  <w:style w:type="character" w:styleId="1028" w:customStyle="1">
    <w:name w:val="Верхний колонтитул Знак"/>
    <w:link w:val="794"/>
    <w:uiPriority w:val="99"/>
    <w:rPr>
      <w:rFonts w:cs="Times New Roman"/>
    </w:rPr>
  </w:style>
  <w:style w:type="character" w:styleId="1029" w:customStyle="1">
    <w:name w:val="Нижний колонтитул Знак"/>
    <w:link w:val="796"/>
    <w:uiPriority w:val="99"/>
    <w:rPr>
      <w:rFonts w:cs="Times New Roman"/>
    </w:rPr>
  </w:style>
  <w:style w:type="character" w:styleId="1030" w:customStyle="1">
    <w:name w:val="Заголовок 3 Знак"/>
    <w:link w:val="752"/>
    <w:rPr>
      <w:rFonts w:ascii="Arial" w:hAnsi="Arial" w:cs="Arial"/>
      <w:b/>
      <w:bCs/>
      <w:sz w:val="26"/>
      <w:szCs w:val="26"/>
    </w:rPr>
  </w:style>
  <w:style w:type="paragraph" w:styleId="1031" w:customStyle="1">
    <w:name w:val="Абзац списка1"/>
    <w:basedOn w:val="749"/>
    <w:pPr>
      <w:contextualSpacing/>
      <w:ind w:left="720"/>
    </w:pPr>
    <w:rPr>
      <w:lang w:eastAsia="en-US"/>
    </w:rPr>
  </w:style>
  <w:style w:type="character" w:styleId="1032">
    <w:name w:val="annotation reference"/>
    <w:uiPriority w:val="99"/>
    <w:semiHidden/>
    <w:unhideWhenUsed/>
    <w:rPr>
      <w:sz w:val="16"/>
      <w:szCs w:val="16"/>
    </w:rPr>
  </w:style>
  <w:style w:type="paragraph" w:styleId="1033">
    <w:name w:val="annotation text"/>
    <w:basedOn w:val="749"/>
    <w:link w:val="1034"/>
    <w:uiPriority w:val="99"/>
    <w:semiHidden/>
    <w:unhideWhenUsed/>
    <w:rPr>
      <w:sz w:val="20"/>
      <w:szCs w:val="20"/>
    </w:rPr>
  </w:style>
  <w:style w:type="character" w:styleId="1034" w:customStyle="1">
    <w:name w:val="Текст примечания Знак"/>
    <w:basedOn w:val="759"/>
    <w:link w:val="1033"/>
    <w:uiPriority w:val="99"/>
    <w:semiHidden/>
  </w:style>
  <w:style w:type="paragraph" w:styleId="1035">
    <w:name w:val="annotation subject"/>
    <w:basedOn w:val="1033"/>
    <w:next w:val="1033"/>
    <w:link w:val="1036"/>
    <w:uiPriority w:val="99"/>
    <w:semiHidden/>
    <w:unhideWhenUsed/>
    <w:rPr>
      <w:b/>
      <w:bCs/>
      <w:lang w:val="en-US" w:eastAsia="en-US"/>
    </w:rPr>
  </w:style>
  <w:style w:type="character" w:styleId="1036" w:customStyle="1">
    <w:name w:val="Тема примечания Знак"/>
    <w:link w:val="1035"/>
    <w:uiPriority w:val="99"/>
    <w:semiHidden/>
    <w:rPr>
      <w:b/>
      <w:bCs/>
    </w:rPr>
  </w:style>
  <w:style w:type="paragraph" w:styleId="1037">
    <w:name w:val="Body Text Indent"/>
    <w:basedOn w:val="749"/>
    <w:link w:val="1038"/>
    <w:uiPriority w:val="99"/>
    <w:semiHidden/>
    <w:unhideWhenUsed/>
    <w:pPr>
      <w:ind w:left="283"/>
      <w:spacing w:after="120"/>
    </w:pPr>
    <w:rPr>
      <w:lang w:val="en-US" w:eastAsia="en-US"/>
    </w:rPr>
  </w:style>
  <w:style w:type="character" w:styleId="1038" w:customStyle="1">
    <w:name w:val="Основной текст с отступом Знак"/>
    <w:link w:val="1037"/>
    <w:uiPriority w:val="99"/>
    <w:semiHidden/>
    <w:rPr>
      <w:sz w:val="22"/>
      <w:szCs w:val="22"/>
    </w:rPr>
  </w:style>
  <w:style w:type="character" w:styleId="1039" w:customStyle="1">
    <w:name w:val="Заголовок 1 Знак"/>
    <w:link w:val="750"/>
    <w:uiPriority w:val="9"/>
    <w:rPr>
      <w:rFonts w:ascii="Calibri Light" w:hAnsi="Calibri Light" w:eastAsia="Times New Roman" w:cs="Times New Roman"/>
      <w:b/>
      <w:bCs/>
      <w:sz w:val="32"/>
      <w:szCs w:val="32"/>
    </w:rPr>
  </w:style>
  <w:style w:type="paragraph" w:styleId="1040" w:customStyle="1">
    <w:name w:val="ConsPlusNormal"/>
    <w:pPr>
      <w:widowControl w:val="off"/>
    </w:pPr>
    <w:rPr>
      <w:rFonts w:ascii="Arial" w:hAnsi="Arial" w:cs="Arial"/>
      <w:lang w:eastAsia="ru-RU"/>
    </w:rPr>
  </w:style>
  <w:style w:type="paragraph" w:styleId="1041">
    <w:name w:val="Revision"/>
    <w:hidden/>
    <w:uiPriority w:val="99"/>
    <w:semiHidden/>
    <w:rPr>
      <w:sz w:val="22"/>
      <w:szCs w:val="22"/>
      <w:lang w:eastAsia="ru-RU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Р7-Офис/2024.3.2.584</Application>
  <Company>АГНОиПНО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юя___5_B_&gt;_4_8_G_5_A_:_8_5</dc:title>
  <dc:creator>GERA_DESIGN1</dc:creator>
  <cp:revision>10</cp:revision>
  <dcterms:created xsi:type="dcterms:W3CDTF">2024-10-01T03:28:00Z</dcterms:created>
  <dcterms:modified xsi:type="dcterms:W3CDTF">2024-11-12T12:12:29Z</dcterms:modified>
  <cp:version>1048576</cp:version>
</cp:coreProperties>
</file>