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</w:p>
    <w:p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безопасности людей на водных объектах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 Новосибирской области в 2025 году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0" w:type="auto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134"/>
        <w:gridCol w:w="2244"/>
        <w:gridCol w:w="2976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проводимых мероприятий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исполнения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Осуществление мероприятий по обеспечению безопасности людей на </w:t>
            </w:r>
            <w:r>
              <w:rPr>
                <w:sz w:val="28"/>
                <w:szCs w:val="28"/>
              </w:rPr>
              <w:t xml:space="preserve">водных объектах, охрана их жизни и здоровья (проведение патрулирований водных объектов, информирования граждан, подворовых обходов и сходов в населенных пунктах, мероприятий по недопущению происшествий на водных объектах, в том числе с несовершеннолетними)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Администрации муниципальных об</w:t>
            </w:r>
            <w:r>
              <w:rPr>
                <w:sz w:val="28"/>
                <w:szCs w:val="28"/>
              </w:rPr>
              <w:t xml:space="preserve">разований Новосибирской области, </w:t>
            </w:r>
            <w:r>
              <w:rPr>
                <w:sz w:val="28"/>
                <w:szCs w:val="28"/>
              </w:rPr>
              <w:t xml:space="preserve">ГКУ НСО «Центр ГО, ЧС и ПБ Новосибирской области»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«Безопасный лед» в муниципальных образованиях Новосибирской области в осенне-зимний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март, ноябрь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области, </w:t>
            </w:r>
            <w:r>
              <w:rPr>
                <w:sz w:val="28"/>
                <w:szCs w:val="28"/>
              </w:rPr>
              <w:t xml:space="preserve">ГКУ НСО «Центр ГО, ЧС и ПБ Новосибирской области»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информирования населения о метеоусловиях, о состоянии льда, порядке функционирования ледовых переправ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апрель, ноябрь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 взаимодействии с </w:t>
            </w:r>
            <w:r>
              <w:rPr>
                <w:sz w:val="28"/>
                <w:szCs w:val="28"/>
              </w:rPr>
              <w:t xml:space="preserve">Западно-Сибирским</w:t>
            </w:r>
            <w:r>
              <w:rPr>
                <w:sz w:val="28"/>
                <w:szCs w:val="28"/>
              </w:rPr>
              <w:t xml:space="preserve"> межре</w:t>
            </w:r>
            <w:r>
              <w:rPr>
                <w:sz w:val="28"/>
                <w:szCs w:val="28"/>
              </w:rPr>
              <w:t xml:space="preserve">гиональным территориальным управлением по гидрометеорологии и мониторингу окружающей среды, филиалом ФГУП «ВГТРК» ГТРК «Новосибирск», администрациями муниципальных образований Новосибирской области, областными исполнительными органами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муниципальных образований Новосибирской области в осенне-зимний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апрель, ноябрь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области, ГКУ НСО «Центр ГО, ЧС и ПБ Новосибирской области»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Осуществление комплекса мероприятий, </w:t>
            </w:r>
            <w:r>
              <w:rPr>
                <w:sz w:val="28"/>
                <w:szCs w:val="28"/>
              </w:rPr>
              <w:t xml:space="preserve">направленных на недопущение</w:t>
            </w:r>
            <w:r>
              <w:rPr>
                <w:sz w:val="28"/>
                <w:szCs w:val="28"/>
              </w:rPr>
              <w:t xml:space="preserve"> возможного</w:t>
            </w:r>
            <w:r>
              <w:rPr>
                <w:sz w:val="28"/>
                <w:szCs w:val="28"/>
              </w:rPr>
              <w:t xml:space="preserve"> несанкционированного выезда транспортных средств на лед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выхода людей на лед </w:t>
            </w:r>
            <w:r>
              <w:rPr>
                <w:sz w:val="28"/>
                <w:szCs w:val="28"/>
              </w:rPr>
              <w:t xml:space="preserve"> водных объектов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(установка знаков безопасности, перекрытие береговой полосы в местах возможного несанкционированного выезда транспортных средств на лед)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>
              <w:rPr>
                <w:sz w:val="28"/>
                <w:szCs w:val="28"/>
              </w:rPr>
              <w:t xml:space="preserve">апрель, ноябрь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областные исполнительные </w:t>
            </w:r>
            <w:r>
              <w:rPr>
                <w:sz w:val="28"/>
                <w:szCs w:val="28"/>
              </w:rPr>
              <w:t xml:space="preserve">органы Новосибирской области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Проведение мероприятий по обеспечению безопасности людей при проведении обрядов купания в период подготовки и проведения празднования православного религиозного праздника «Крещение Господне»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организаторы купелей (купален) во взаимодействии с администрациями муниципальных образований Новосибирской области, ГУ МЧС России по Новосибирской области, ГКУ НСО «Центр ГО, ЧС и ПБ Новосибирской области»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Участие в проведении Всероссийской акции «Чистый берег» в целях </w:t>
            </w:r>
            <w:r>
              <w:rPr>
                <w:sz w:val="28"/>
                <w:szCs w:val="28"/>
              </w:rPr>
              <w:t xml:space="preserve">подготовки береговой полосы водных объектов муниципальных образований Новосибирской области</w:t>
            </w:r>
            <w:r>
              <w:rPr>
                <w:sz w:val="28"/>
                <w:szCs w:val="28"/>
              </w:rPr>
              <w:t xml:space="preserve"> к купальному сезону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министерст</w:t>
            </w:r>
            <w:r>
              <w:rPr>
                <w:sz w:val="28"/>
                <w:szCs w:val="28"/>
              </w:rPr>
              <w:t xml:space="preserve">во природных ресурсов и экологии Новосибирской области во взаимодействии с администрациями муниципальных образований Новосибирской области, водопользователями, осуществляющими пользование водными объектами в рекреационных целях, общественными организациями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министерство физической культуры и спорта Новосибирской области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муниципальных образований Новосибирской области в 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май - сентябрь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области, ГКУ НСО «Центр ГО, ЧС и ПБ Новосибирской области»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Проведение обучения общественных спасателей на акватории для комплектования спасательных постов на пляжах и в местах неорганизованного отдыха людей на водных объектах в </w:t>
            </w:r>
            <w:r>
              <w:rPr>
                <w:sz w:val="28"/>
                <w:szCs w:val="28"/>
              </w:rPr>
              <w:t xml:space="preserve">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апрель - июнь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ГАОУ ДПО НСО «УМЦ ГОЧС НСО» во взаимодействии с администрациями муниципальных образований Новосибирской области, </w:t>
            </w:r>
            <w:r>
              <w:rPr>
                <w:sz w:val="28"/>
                <w:szCs w:val="28"/>
              </w:rPr>
              <w:t xml:space="preserve">филиалом ГКУ НСО «Центр ГО, ЧС и ПБ Новосибирской области» - «АСС Новосибирской области», МКУ г. Новосибирска «Служба АСР и ГЗ» и водопользователями, осуществляющими пользование водными объектами в рекреационных целях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Решение вопросов по выставлению в период купального сезона спасательных постов и знаков безопасности в местах отдыха людей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май -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14:ligatures w14:val="none"/>
              </w:rPr>
            </w:pPr>
            <w:r>
              <w:rPr>
                <w:sz w:val="28"/>
                <w:szCs w:val="28"/>
              </w:rPr>
              <w:t xml:space="preserve">администрации</w:t>
            </w:r>
            <w:r>
              <w:rPr>
                <w:sz w:val="28"/>
                <w:szCs w:val="28"/>
              </w:rPr>
              <w:t xml:space="preserve"> муниципальных образований Новосибир</w:t>
            </w:r>
            <w:r>
              <w:rPr>
                <w:sz w:val="28"/>
                <w:szCs w:val="28"/>
              </w:rPr>
              <w:t xml:space="preserve">ской области, водопользователи, владельцы</w:t>
            </w:r>
            <w:r>
              <w:rPr>
                <w:sz w:val="28"/>
                <w:szCs w:val="28"/>
              </w:rPr>
              <w:t xml:space="preserve"> пляжей, переправ, наплавных мостов и баз (сооружений) для стоянки маломерных судов.</w:t>
            </w:r>
            <w:r>
              <w:rPr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Решение вопросов по открытию в период купального сезона пляжей в местах отдыха людей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июнь -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водопользователи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«Вода - безопасная территория» в муниципальных образованиях Новосибирской области в 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июнь -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 взаимодействии с ГКУ НСО «Центр ГО, ЧС и ПБ Новосибирской области</w:t>
            </w:r>
            <w:r>
              <w:rPr>
                <w:sz w:val="28"/>
                <w:szCs w:val="28"/>
              </w:rPr>
              <w:t xml:space="preserve">», администрациями муниципальных образований Новосибирской области</w:t>
            </w:r>
            <w:r/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осуществление </w:t>
            </w:r>
            <w:r>
              <w:rPr>
                <w:sz w:val="28"/>
                <w:szCs w:val="28"/>
              </w:rPr>
              <w:t xml:space="preserve">контроля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</w:t>
            </w:r>
            <w:r>
              <w:rPr>
                <w:sz w:val="28"/>
                <w:szCs w:val="28"/>
              </w:rPr>
              <w:t xml:space="preserve"> принятием необходимых мер по обеспечению безопасности людей на водных объектах (организация и выставление спасательных постов, выставление знаков безопасности и т.д.)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ГКУ НСО «Центр ГО, ЧС и ПБ Новосибирской области» во взаимодействии с ГУ 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«Научись плавать» и занятий по вопросам безопасности на водных объектах в детских оздоровительных лагерях в 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июнь -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министерство</w:t>
            </w:r>
            <w:r>
              <w:rPr>
                <w:sz w:val="28"/>
                <w:szCs w:val="28"/>
              </w:rPr>
              <w:t xml:space="preserve"> труда и социального развития Новосибирской области, министерство физической культуры и спорта Новосибирской области во взаимодействии с администрациями муниципальных образований Новосибирской области, ГКУ НСО «Центр ГО, ЧС и ПБ Новосибирской области», ГУ </w:t>
            </w:r>
            <w:r>
              <w:rPr>
                <w:sz w:val="28"/>
                <w:szCs w:val="28"/>
              </w:rPr>
              <w:t xml:space="preserve">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Проведение в дошкольных и средних образовательных учреждениях, учебных заведениях муниципальных образований Новосибирской области занятий по правилам поведения детей 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 водных объектов</w:t>
            </w:r>
            <w:r>
              <w:rPr>
                <w:sz w:val="28"/>
                <w:szCs w:val="28"/>
              </w:rPr>
              <w:t xml:space="preserve"> в осенне-зимний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май, </w:t>
            </w:r>
            <w:r>
              <w:rPr>
                <w:sz w:val="28"/>
                <w:szCs w:val="28"/>
              </w:rPr>
              <w:t xml:space="preserve">сентябрь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Администрации муниципальных об</w:t>
            </w:r>
            <w:r>
              <w:rPr>
                <w:sz w:val="28"/>
                <w:szCs w:val="28"/>
              </w:rPr>
              <w:t xml:space="preserve">разований Новосибирской области, </w:t>
            </w:r>
            <w:r>
              <w:rPr>
                <w:sz w:val="28"/>
                <w:szCs w:val="28"/>
              </w:rPr>
              <w:t xml:space="preserve">ГКУ НСО «Центр ГО, ЧС и ПБ Новосибирской области»</w:t>
            </w:r>
            <w:r>
              <w:rPr>
                <w:sz w:val="28"/>
                <w:szCs w:val="28"/>
              </w:rPr>
              <w:t xml:space="preserve">, ГУ 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Проведение профилактических мероприятий по </w:t>
            </w:r>
            <w:r>
              <w:rPr>
                <w:sz w:val="28"/>
                <w:szCs w:val="28"/>
              </w:rPr>
              <w:t xml:space="preserve">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размещение материалов в печатных и интернет-изданиях органов местного самоуправления и в СМИ)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Администрации муниципальных образований Новосибирской области, ГКУ НСО «Центр ГО, ЧС и ПБ Новосибирской области», ГУ 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Проведение анализа происшествий и несчастных случаев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 взаимодействии с ГКУ НСО «Центр ГО, ЧС и ПБ Новосибирской области»,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Обеспечение взаимодействия сил и средств территориальной подсистемы Новосибирской области РСЧС при происшествиях, а также угрозе возникновения и ликвидации последствий чрезвычайных ситуаций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январь -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 взаимодействии с ГКУ НСО «Центр ГО, ЧС и ПБ Новосибирской области»,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ГАОУ ДПО НСО «УМЦ ГОЧС НСО» </w:t>
      </w:r>
      <w:r>
        <w:rPr>
          <w:rFonts w:eastAsia="Symbol"/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 чрезвычайным ситуациям 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ГКУ НСО «Центр ГО, ЧС и ПБ Новосибирской области» </w:t>
      </w:r>
      <w:r>
        <w:rPr>
          <w:rFonts w:eastAsia="Symbol"/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государственное казенное учреждение Новосибирской области «Центр по обеспечению мероприятий в области гражданской обороны, чрезвычайных ситуаций и пожарной безопасности 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ГУ МЧС России по Новосибирской области </w:t>
      </w:r>
      <w:r>
        <w:rPr>
          <w:rFonts w:eastAsia="Symbol"/>
          <w:sz w:val="28"/>
          <w:szCs w:val="28"/>
        </w:rPr>
        <w:t xml:space="preserve">–</w:t>
      </w:r>
      <w:r>
        <w:rPr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 Новосибирской области;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МКУ г. Новосибирска «Служба АСР и ГЗ» – муниципальное казенное учреждение города Новосибирска «Служба аварийно-спасательных работ и гражданской защиты»;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РСЧС – единая государственная система предупреждения и ликвидации чрезвычайных ситуаций;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СМИ – средства массовой информации;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7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филиал ГКУ НСО «Центр ГО, ЧС и ПБ Новосибирской области»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 «АСС 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 – филиал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«Аварийно-спасательная с</w:t>
      </w:r>
      <w:r>
        <w:rPr>
          <w:sz w:val="28"/>
          <w:szCs w:val="28"/>
        </w:rPr>
        <w:t xml:space="preserve">лужба 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7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филиал</w:t>
      </w:r>
      <w:r>
        <w:rPr>
          <w:sz w:val="28"/>
          <w:szCs w:val="28"/>
        </w:rPr>
        <w:t xml:space="preserve"> ФГУП «ВГТРК» ГТРК «Новосибирск»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радиовещательная </w:t>
      </w:r>
      <w:r>
        <w:rPr>
          <w:color w:val="000000"/>
          <w:sz w:val="28"/>
          <w:szCs w:val="28"/>
        </w:rPr>
        <w:t xml:space="preserve">компания «Новосибирск»</w:t>
      </w:r>
      <w:r>
        <w:rPr>
          <w:color w:val="000000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7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rPr>
        <w:rStyle w:val="865"/>
      </w:rPr>
      <w:framePr w:wrap="around" w:vAnchor="text" w:hAnchor="margin" w:xAlign="center" w:y="1"/>
    </w:pPr>
    <w:r>
      <w:rPr>
        <w:rStyle w:val="865"/>
      </w:rPr>
      <w:fldChar w:fldCharType="begin"/>
    </w:r>
    <w:r>
      <w:rPr>
        <w:rStyle w:val="865"/>
      </w:rPr>
      <w:instrText xml:space="preserve">PAGE  </w:instrText>
    </w:r>
    <w:r>
      <w:rPr>
        <w:rStyle w:val="865"/>
      </w:rPr>
      <w:fldChar w:fldCharType="end"/>
    </w:r>
    <w:r>
      <w:rPr>
        <w:rStyle w:val="865"/>
      </w:rPr>
    </w:r>
  </w:p>
  <w:p>
    <w:pPr>
      <w:pStyle w:val="7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47">
    <w:name w:val="Caption Char"/>
    <w:basedOn w:val="719"/>
    <w:link w:val="717"/>
    <w:uiPriority w:val="99"/>
  </w:style>
  <w:style w:type="character" w:styleId="176">
    <w:name w:val="Footnote Text Char"/>
    <w:link w:val="848"/>
    <w:uiPriority w:val="99"/>
    <w:rPr>
      <w:sz w:val="18"/>
    </w:rPr>
  </w:style>
  <w:style w:type="character" w:styleId="179">
    <w:name w:val="Endnote Text Char"/>
    <w:link w:val="851"/>
    <w:uiPriority w:val="99"/>
    <w:rPr>
      <w:sz w:val="20"/>
    </w:rPr>
  </w:style>
  <w:style w:type="paragraph" w:styleId="683" w:default="1">
    <w:name w:val="Normal"/>
    <w:qFormat/>
    <w:rPr>
      <w:sz w:val="24"/>
      <w:szCs w:val="24"/>
    </w:rPr>
  </w:style>
  <w:style w:type="paragraph" w:styleId="684">
    <w:name w:val="Heading 1"/>
    <w:basedOn w:val="683"/>
    <w:next w:val="683"/>
    <w:link w:val="696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3"/>
    <w:link w:val="871"/>
    <w:uiPriority w:val="99"/>
    <w:pPr>
      <w:tabs>
        <w:tab w:val="center" w:pos="4677" w:leader="none"/>
        <w:tab w:val="right" w:pos="9355" w:leader="none"/>
      </w:tabs>
    </w:pPr>
  </w:style>
  <w:style w:type="character" w:styleId="716" w:customStyle="1">
    <w:name w:val="Header Char"/>
    <w:uiPriority w:val="99"/>
  </w:style>
  <w:style w:type="paragraph" w:styleId="717">
    <w:name w:val="Footer"/>
    <w:basedOn w:val="683"/>
    <w:link w:val="720"/>
    <w:pPr>
      <w:tabs>
        <w:tab w:val="center" w:pos="4677" w:leader="none"/>
        <w:tab w:val="right" w:pos="9355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4"/>
    <w:tblPr/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83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3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3"/>
    <w:next w:val="683"/>
    <w:uiPriority w:val="39"/>
    <w:unhideWhenUsed/>
    <w:pPr>
      <w:spacing w:after="57"/>
    </w:pPr>
  </w:style>
  <w:style w:type="paragraph" w:styleId="855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6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7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8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9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60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61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2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83"/>
    <w:next w:val="683"/>
    <w:uiPriority w:val="99"/>
    <w:unhideWhenUsed/>
  </w:style>
  <w:style w:type="character" w:styleId="865">
    <w:name w:val="page number"/>
    <w:basedOn w:val="693"/>
  </w:style>
  <w:style w:type="paragraph" w:styleId="866" w:customStyle="1">
    <w:name w:val="Знак Знак1 Знак"/>
    <w:basedOn w:val="68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6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8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869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70">
    <w:name w:val="Balloon Text"/>
    <w:basedOn w:val="683"/>
    <w:semiHidden/>
    <w:rPr>
      <w:rFonts w:ascii="Tahoma" w:hAnsi="Tahoma" w:cs="Tahoma"/>
      <w:sz w:val="16"/>
      <w:szCs w:val="16"/>
    </w:rPr>
  </w:style>
  <w:style w:type="character" w:styleId="871" w:customStyle="1">
    <w:name w:val="Верхний колонтитул Знак"/>
    <w:link w:val="715"/>
    <w:uiPriority w:val="99"/>
    <w:rPr>
      <w:sz w:val="24"/>
      <w:szCs w:val="24"/>
    </w:rPr>
  </w:style>
  <w:style w:type="paragraph" w:styleId="872" w:customStyle="1">
    <w:name w:val="docdata"/>
    <w:basedOn w:val="683"/>
    <w:uiPriority w:val="99"/>
    <w:rPr>
      <w:rFonts w:eastAsia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ugochs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34</cp:revision>
  <dcterms:created xsi:type="dcterms:W3CDTF">2023-01-27T11:18:00Z</dcterms:created>
  <dcterms:modified xsi:type="dcterms:W3CDTF">2024-11-06T10:24:20Z</dcterms:modified>
  <cp:version>1048576</cp:version>
</cp:coreProperties>
</file>